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28"/>
          <w:szCs w:val="28"/>
          <w:lang w:eastAsia="zh-CN"/>
        </w:rPr>
      </w:pPr>
      <w:r>
        <w:rPr>
          <w:rFonts w:hint="eastAsia" w:ascii="微软雅黑" w:hAnsi="微软雅黑" w:eastAsia="微软雅黑"/>
          <w:b/>
          <w:bCs/>
          <w:sz w:val="28"/>
          <w:szCs w:val="28"/>
          <w:lang w:eastAsia="zh-CN"/>
        </w:rPr>
        <w:t>拟提名202</w:t>
      </w:r>
      <w:r>
        <w:rPr>
          <w:rFonts w:ascii="微软雅黑" w:hAnsi="微软雅黑" w:eastAsia="微软雅黑"/>
          <w:b/>
          <w:bCs/>
          <w:sz w:val="28"/>
          <w:szCs w:val="28"/>
          <w:lang w:eastAsia="zh-CN"/>
        </w:rPr>
        <w:t>3</w:t>
      </w:r>
      <w:r>
        <w:rPr>
          <w:rFonts w:hint="eastAsia" w:ascii="微软雅黑" w:hAnsi="微软雅黑" w:eastAsia="微软雅黑"/>
          <w:b/>
          <w:bCs/>
          <w:sz w:val="28"/>
          <w:szCs w:val="28"/>
          <w:lang w:eastAsia="zh-CN"/>
        </w:rPr>
        <w:t xml:space="preserve"> 年国家科学技术进步奖项目</w:t>
      </w:r>
    </w:p>
    <w:p>
      <w:pPr>
        <w:rPr>
          <w:rFonts w:ascii="黑体" w:hAnsi="黑体" w:eastAsia="黑体"/>
          <w:b/>
          <w:bCs/>
          <w:sz w:val="28"/>
          <w:szCs w:val="28"/>
          <w:lang w:eastAsia="zh-CN"/>
        </w:rPr>
      </w:pPr>
      <w:r>
        <w:rPr>
          <w:rFonts w:hint="eastAsia" w:ascii="黑体" w:hAnsi="黑体" w:eastAsia="黑体"/>
          <w:b/>
          <w:bCs/>
          <w:sz w:val="28"/>
          <w:szCs w:val="28"/>
          <w:lang w:eastAsia="zh-CN"/>
        </w:rPr>
        <w:t>一、项目名称</w:t>
      </w:r>
    </w:p>
    <w:p>
      <w:pPr>
        <w:rPr>
          <w:rFonts w:hint="default" w:ascii="仿宋" w:hAnsi="仿宋" w:eastAsia="仿宋"/>
          <w:sz w:val="28"/>
          <w:szCs w:val="28"/>
          <w:lang w:val="en-US" w:eastAsia="zh-CN"/>
        </w:rPr>
      </w:pPr>
      <w:r>
        <w:rPr>
          <w:rFonts w:hint="eastAsia" w:ascii="仿宋" w:hAnsi="仿宋" w:eastAsia="仿宋"/>
          <w:sz w:val="28"/>
          <w:szCs w:val="28"/>
          <w:lang w:eastAsia="zh-CN"/>
        </w:rPr>
        <w:t>肾脏纤维化新机制发现及其</w:t>
      </w:r>
      <w:r>
        <w:rPr>
          <w:rFonts w:hint="eastAsia" w:ascii="仿宋" w:hAnsi="仿宋" w:eastAsia="仿宋"/>
          <w:sz w:val="28"/>
          <w:szCs w:val="28"/>
          <w:lang w:val="en-US" w:eastAsia="zh-CN"/>
        </w:rPr>
        <w:t>转化研究</w:t>
      </w:r>
      <w:bookmarkStart w:id="0" w:name="_GoBack"/>
      <w:bookmarkEnd w:id="0"/>
    </w:p>
    <w:p>
      <w:pPr>
        <w:rPr>
          <w:rFonts w:ascii="黑体" w:hAnsi="黑体" w:eastAsia="黑体"/>
          <w:b/>
          <w:bCs/>
          <w:sz w:val="28"/>
          <w:szCs w:val="28"/>
          <w:lang w:eastAsia="zh-CN"/>
        </w:rPr>
      </w:pPr>
      <w:r>
        <w:rPr>
          <w:rFonts w:hint="eastAsia" w:ascii="黑体" w:hAnsi="黑体" w:eastAsia="黑体"/>
          <w:b/>
          <w:bCs/>
          <w:sz w:val="28"/>
          <w:szCs w:val="28"/>
          <w:lang w:eastAsia="zh-CN"/>
        </w:rPr>
        <w:t>二、提名者</w:t>
      </w:r>
    </w:p>
    <w:p>
      <w:pPr>
        <w:rPr>
          <w:rFonts w:ascii="仿宋" w:hAnsi="仿宋" w:eastAsia="仿宋"/>
          <w:sz w:val="28"/>
          <w:szCs w:val="28"/>
          <w:lang w:eastAsia="zh-CN"/>
        </w:rPr>
      </w:pPr>
      <w:r>
        <w:rPr>
          <w:rFonts w:hint="eastAsia" w:ascii="仿宋" w:hAnsi="仿宋" w:eastAsia="仿宋"/>
          <w:sz w:val="28"/>
          <w:szCs w:val="28"/>
          <w:lang w:eastAsia="zh-CN"/>
        </w:rPr>
        <w:t>中国科学技术协会</w:t>
      </w:r>
    </w:p>
    <w:p>
      <w:pPr>
        <w:rPr>
          <w:rFonts w:ascii="黑体" w:hAnsi="黑体" w:eastAsia="黑体"/>
          <w:b/>
          <w:bCs/>
          <w:sz w:val="28"/>
          <w:szCs w:val="28"/>
          <w:lang w:eastAsia="zh-CN"/>
        </w:rPr>
      </w:pPr>
      <w:r>
        <w:rPr>
          <w:rFonts w:hint="eastAsia" w:ascii="黑体" w:hAnsi="黑体" w:eastAsia="黑体"/>
          <w:b/>
          <w:bCs/>
          <w:sz w:val="28"/>
          <w:szCs w:val="28"/>
          <w:lang w:eastAsia="zh-CN"/>
        </w:rPr>
        <w:t>三、提名等级</w:t>
      </w:r>
    </w:p>
    <w:p>
      <w:pPr>
        <w:rPr>
          <w:rFonts w:ascii="仿宋" w:hAnsi="仿宋" w:eastAsia="仿宋"/>
          <w:sz w:val="28"/>
          <w:szCs w:val="28"/>
          <w:lang w:eastAsia="zh-CN"/>
        </w:rPr>
      </w:pPr>
      <w:r>
        <w:rPr>
          <w:rFonts w:hint="eastAsia" w:ascii="仿宋" w:hAnsi="仿宋" w:eastAsia="仿宋"/>
          <w:sz w:val="28"/>
          <w:szCs w:val="28"/>
          <w:lang w:eastAsia="zh-CN"/>
        </w:rPr>
        <w:t>国家科学技术进步奖二等奖</w:t>
      </w:r>
    </w:p>
    <w:p>
      <w:pPr>
        <w:rPr>
          <w:rFonts w:ascii="宋体" w:hAnsi="宋体" w:eastAsia="宋体"/>
          <w:b/>
          <w:bCs/>
          <w:sz w:val="28"/>
          <w:szCs w:val="28"/>
          <w:lang w:eastAsia="zh-CN"/>
        </w:rPr>
      </w:pPr>
      <w:r>
        <w:rPr>
          <w:rFonts w:hint="eastAsia" w:ascii="宋体" w:hAnsi="宋体" w:eastAsia="宋体"/>
          <w:b/>
          <w:bCs/>
          <w:sz w:val="28"/>
          <w:szCs w:val="28"/>
          <w:lang w:eastAsia="zh-CN"/>
        </w:rPr>
        <w:t>四、主要完成人</w:t>
      </w:r>
    </w:p>
    <w:p>
      <w:pPr>
        <w:rPr>
          <w:rFonts w:ascii="仿宋" w:hAnsi="仿宋" w:eastAsia="仿宋"/>
          <w:sz w:val="28"/>
          <w:szCs w:val="28"/>
          <w:lang w:eastAsia="zh-CN"/>
        </w:rPr>
      </w:pPr>
      <w:r>
        <w:rPr>
          <w:rFonts w:hint="eastAsia" w:ascii="仿宋" w:hAnsi="仿宋" w:eastAsia="仿宋"/>
          <w:sz w:val="28"/>
          <w:szCs w:val="28"/>
          <w:lang w:eastAsia="zh-CN"/>
        </w:rPr>
        <w:t>刘必成 蓝辉耀 张爱华 吕林莉 孟晓明 汤涛涛 王彬 孔关义 姜舒 秦锁富</w:t>
      </w:r>
    </w:p>
    <w:p>
      <w:pPr>
        <w:rPr>
          <w:rFonts w:ascii="黑体" w:hAnsi="黑体" w:eastAsia="黑体"/>
          <w:b/>
          <w:bCs/>
          <w:sz w:val="28"/>
          <w:szCs w:val="28"/>
          <w:lang w:eastAsia="zh-CN"/>
        </w:rPr>
      </w:pPr>
      <w:r>
        <w:rPr>
          <w:rFonts w:hint="eastAsia" w:ascii="黑体" w:hAnsi="黑体" w:eastAsia="黑体"/>
          <w:b/>
          <w:bCs/>
          <w:sz w:val="28"/>
          <w:szCs w:val="28"/>
          <w:lang w:eastAsia="zh-CN"/>
        </w:rPr>
        <w:t>五、主要完成单位</w:t>
      </w:r>
    </w:p>
    <w:p>
      <w:pPr>
        <w:rPr>
          <w:rFonts w:ascii="仿宋" w:hAnsi="仿宋" w:eastAsia="仿宋"/>
          <w:sz w:val="28"/>
          <w:szCs w:val="28"/>
          <w:lang w:eastAsia="zh-CN"/>
        </w:rPr>
      </w:pPr>
      <w:r>
        <w:rPr>
          <w:rFonts w:hint="eastAsia" w:ascii="仿宋" w:hAnsi="仿宋" w:eastAsia="仿宋"/>
          <w:sz w:val="28"/>
          <w:szCs w:val="28"/>
          <w:lang w:eastAsia="zh-CN"/>
        </w:rPr>
        <w:t xml:space="preserve">东南大学 香港中文大学 南京市儿童医院 安徽医科大学 </w:t>
      </w:r>
      <w:r>
        <w:rPr>
          <w:rFonts w:ascii="仿宋" w:hAnsi="仿宋" w:eastAsia="仿宋"/>
          <w:sz w:val="28"/>
          <w:szCs w:val="28"/>
          <w:lang w:eastAsia="zh-CN"/>
        </w:rPr>
        <w:t>北京恩泽康泰生物科技有限公司</w:t>
      </w:r>
      <w:r>
        <w:rPr>
          <w:rFonts w:hint="eastAsia" w:ascii="仿宋" w:hAnsi="仿宋" w:eastAsia="仿宋"/>
          <w:sz w:val="28"/>
          <w:szCs w:val="28"/>
          <w:lang w:eastAsia="zh-CN"/>
        </w:rPr>
        <w:t xml:space="preserve"> 深圳市茵冠生物科技有限公司 深圳科兴药业有限公司</w:t>
      </w:r>
    </w:p>
    <w:p>
      <w:pPr>
        <w:rPr>
          <w:rFonts w:ascii="黑体" w:hAnsi="黑体" w:eastAsia="黑体"/>
          <w:b/>
          <w:bCs/>
          <w:sz w:val="28"/>
          <w:szCs w:val="28"/>
          <w:lang w:eastAsia="zh-CN"/>
        </w:rPr>
      </w:pPr>
      <w:r>
        <w:rPr>
          <w:rFonts w:hint="eastAsia" w:ascii="黑体" w:hAnsi="黑体" w:eastAsia="黑体"/>
          <w:b/>
          <w:bCs/>
          <w:sz w:val="28"/>
          <w:szCs w:val="28"/>
          <w:lang w:eastAsia="zh-CN"/>
        </w:rPr>
        <w:t>六、主要知识产权和标准规范等目录</w:t>
      </w:r>
    </w:p>
    <w:tbl>
      <w:tblPr>
        <w:tblStyle w:val="3"/>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9"/>
        <w:gridCol w:w="1701"/>
        <w:gridCol w:w="709"/>
        <w:gridCol w:w="1417"/>
        <w:gridCol w:w="709"/>
        <w:gridCol w:w="709"/>
        <w:gridCol w:w="1134"/>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10"/>
          </w:tcPr>
          <w:p>
            <w:pPr>
              <w:spacing w:line="280" w:lineRule="exact"/>
              <w:jc w:val="center"/>
              <w:rPr>
                <w:rFonts w:eastAsia="宋体"/>
                <w:sz w:val="20"/>
                <w:szCs w:val="20"/>
                <w:lang w:eastAsia="zh-CN"/>
                <w14:ligatures w14:val="standardContextual"/>
              </w:rPr>
            </w:pPr>
            <w:r>
              <w:rPr>
                <w:rFonts w:hint="eastAsia" w:eastAsia="宋体"/>
                <w:sz w:val="20"/>
                <w:szCs w:val="20"/>
                <w:lang w:eastAsia="zh-CN"/>
                <w14:ligatures w14:val="standardContextual"/>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序号</w:t>
            </w:r>
          </w:p>
        </w:tc>
        <w:tc>
          <w:tcPr>
            <w:tcW w:w="709"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知识产权（标准）类别</w:t>
            </w:r>
          </w:p>
        </w:tc>
        <w:tc>
          <w:tcPr>
            <w:tcW w:w="1701" w:type="dxa"/>
            <w:vAlign w:val="center"/>
          </w:tcPr>
          <w:p>
            <w:pPr>
              <w:spacing w:line="280" w:lineRule="exact"/>
              <w:jc w:val="center"/>
              <w:rPr>
                <w:rFonts w:eastAsia="宋体"/>
                <w:sz w:val="20"/>
                <w:szCs w:val="20"/>
                <w:lang w:eastAsia="zh-CN"/>
                <w14:ligatures w14:val="standardContextual"/>
              </w:rPr>
            </w:pPr>
          </w:p>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知识产权</w:t>
            </w:r>
          </w:p>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（标准）具体名称</w:t>
            </w:r>
          </w:p>
        </w:tc>
        <w:tc>
          <w:tcPr>
            <w:tcW w:w="709" w:type="dxa"/>
            <w:vAlign w:val="center"/>
          </w:tcPr>
          <w:p>
            <w:pPr>
              <w:spacing w:line="280" w:lineRule="exact"/>
              <w:jc w:val="center"/>
              <w:rPr>
                <w:rFonts w:eastAsia="宋体"/>
                <w:sz w:val="20"/>
                <w:szCs w:val="20"/>
                <w:lang w:eastAsia="zh-CN"/>
                <w14:ligatures w14:val="standardContextual"/>
              </w:rPr>
            </w:pPr>
          </w:p>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国家（地区）</w:t>
            </w:r>
          </w:p>
        </w:tc>
        <w:tc>
          <w:tcPr>
            <w:tcW w:w="1417" w:type="dxa"/>
            <w:vAlign w:val="center"/>
          </w:tcPr>
          <w:p>
            <w:pPr>
              <w:spacing w:line="280" w:lineRule="exact"/>
              <w:jc w:val="center"/>
              <w:rPr>
                <w:rFonts w:eastAsia="宋体"/>
                <w:sz w:val="20"/>
                <w:szCs w:val="20"/>
                <w:lang w:eastAsia="zh-CN"/>
                <w14:ligatures w14:val="standardContextual"/>
              </w:rPr>
            </w:pPr>
          </w:p>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授权号（标准编号）</w:t>
            </w:r>
          </w:p>
        </w:tc>
        <w:tc>
          <w:tcPr>
            <w:tcW w:w="709"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授权（标准发布）日期</w:t>
            </w:r>
          </w:p>
        </w:tc>
        <w:tc>
          <w:tcPr>
            <w:tcW w:w="709"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证书编号（标准批准发布部门）</w:t>
            </w:r>
          </w:p>
        </w:tc>
        <w:tc>
          <w:tcPr>
            <w:tcW w:w="1134"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权利人（标准起草单位）</w:t>
            </w:r>
          </w:p>
        </w:tc>
        <w:tc>
          <w:tcPr>
            <w:tcW w:w="992"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发明人（标准起草人）</w:t>
            </w:r>
          </w:p>
        </w:tc>
        <w:tc>
          <w:tcPr>
            <w:tcW w:w="709" w:type="dxa"/>
            <w:vAlign w:val="center"/>
          </w:tcPr>
          <w:p>
            <w:pPr>
              <w:spacing w:line="280" w:lineRule="exact"/>
              <w:jc w:val="center"/>
              <w:rPr>
                <w:rFonts w:eastAsia="宋体"/>
                <w:sz w:val="20"/>
                <w:szCs w:val="20"/>
                <w:lang w:eastAsia="zh-CN"/>
                <w14:ligatures w14:val="standardContextual"/>
              </w:rPr>
            </w:pPr>
          </w:p>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1</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发明专利</w:t>
            </w:r>
          </w:p>
        </w:tc>
        <w:tc>
          <w:tcPr>
            <w:tcW w:w="1701"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一种细胞外囊泡—白介素-10纳米靶向药物及其制备方法和应用</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中国</w:t>
            </w:r>
          </w:p>
        </w:tc>
        <w:tc>
          <w:tcPr>
            <w:tcW w:w="1417"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ZL202010134391.1</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2023-03-21</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5792701</w:t>
            </w:r>
          </w:p>
        </w:tc>
        <w:tc>
          <w:tcPr>
            <w:tcW w:w="1134"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东南大学</w:t>
            </w:r>
          </w:p>
        </w:tc>
        <w:tc>
          <w:tcPr>
            <w:tcW w:w="992" w:type="dxa"/>
            <w:vAlign w:val="center"/>
          </w:tcPr>
          <w:p>
            <w:pPr>
              <w:spacing w:line="280" w:lineRule="exact"/>
              <w:jc w:val="both"/>
              <w:rPr>
                <w:rFonts w:eastAsia="宋体"/>
                <w:bCs/>
                <w:sz w:val="20"/>
                <w:szCs w:val="20"/>
                <w:lang w:eastAsia="zh-CN"/>
                <w14:ligatures w14:val="standardContextual"/>
              </w:rPr>
            </w:pPr>
            <w:r>
              <w:rPr>
                <w:rFonts w:eastAsia="宋体"/>
                <w:sz w:val="20"/>
                <w:szCs w:val="20"/>
                <w:lang w:eastAsia="zh-CN"/>
                <w14:ligatures w14:val="standardContextual"/>
              </w:rPr>
              <w:t>刘必成，汤涛涛</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2</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发明专利</w:t>
            </w:r>
          </w:p>
        </w:tc>
        <w:tc>
          <w:tcPr>
            <w:tcW w:w="1701"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一种肾损伤分子-1（Kim-1）靶向多肽及其应用</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中国</w:t>
            </w:r>
          </w:p>
        </w:tc>
        <w:tc>
          <w:tcPr>
            <w:tcW w:w="1417"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ZL2020 11592251.5</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2022-05-17</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5159101</w:t>
            </w:r>
          </w:p>
        </w:tc>
        <w:tc>
          <w:tcPr>
            <w:tcW w:w="1134"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东南大学</w:t>
            </w:r>
          </w:p>
        </w:tc>
        <w:tc>
          <w:tcPr>
            <w:tcW w:w="992" w:type="dxa"/>
            <w:vAlign w:val="center"/>
          </w:tcPr>
          <w:p>
            <w:pPr>
              <w:spacing w:line="280" w:lineRule="exact"/>
              <w:jc w:val="both"/>
              <w:rPr>
                <w:rFonts w:eastAsia="宋体"/>
                <w:bCs/>
                <w:sz w:val="20"/>
                <w:szCs w:val="20"/>
                <w:lang w:eastAsia="zh-CN"/>
                <w14:ligatures w14:val="standardContextual"/>
              </w:rPr>
            </w:pPr>
            <w:r>
              <w:rPr>
                <w:rFonts w:eastAsia="宋体"/>
                <w:sz w:val="20"/>
                <w:szCs w:val="20"/>
                <w:lang w:eastAsia="zh-CN"/>
                <w14:ligatures w14:val="standardContextual"/>
              </w:rPr>
              <w:t>刘必成，汤涛涛，王彬</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3</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发明专利</w:t>
            </w:r>
          </w:p>
        </w:tc>
        <w:tc>
          <w:tcPr>
            <w:tcW w:w="1701"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一种负载地塞米松的巨噬细胞源微囊泡及其制备方法和应用</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中国</w:t>
            </w:r>
          </w:p>
        </w:tc>
        <w:tc>
          <w:tcPr>
            <w:tcW w:w="1417"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ZL201810409507.0</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2020-08-11</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3930865</w:t>
            </w:r>
          </w:p>
        </w:tc>
        <w:tc>
          <w:tcPr>
            <w:tcW w:w="1134"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东南大学</w:t>
            </w:r>
          </w:p>
        </w:tc>
        <w:tc>
          <w:tcPr>
            <w:tcW w:w="992" w:type="dxa"/>
            <w:vAlign w:val="center"/>
          </w:tcPr>
          <w:p>
            <w:pPr>
              <w:spacing w:line="280" w:lineRule="exact"/>
              <w:jc w:val="both"/>
              <w:rPr>
                <w:rFonts w:eastAsia="宋体"/>
                <w:bCs/>
                <w:sz w:val="20"/>
                <w:szCs w:val="20"/>
                <w:lang w:eastAsia="zh-CN"/>
                <w14:ligatures w14:val="standardContextual"/>
              </w:rPr>
            </w:pPr>
            <w:r>
              <w:rPr>
                <w:rFonts w:eastAsia="宋体"/>
                <w:sz w:val="20"/>
                <w:szCs w:val="20"/>
                <w:lang w:eastAsia="zh-CN"/>
                <w14:ligatures w14:val="standardContextual"/>
              </w:rPr>
              <w:t>刘必成，汤涛涛，吕林莉</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4</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发明专利</w:t>
            </w:r>
          </w:p>
        </w:tc>
        <w:tc>
          <w:tcPr>
            <w:tcW w:w="1701"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基于Taqman探针的肾小管上皮细胞特异性基因检测荧光定量PCR一步法试剂盒</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中国</w:t>
            </w:r>
          </w:p>
        </w:tc>
        <w:tc>
          <w:tcPr>
            <w:tcW w:w="1417"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ZL201810580404.0</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2021-08-24</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4631196</w:t>
            </w:r>
          </w:p>
        </w:tc>
        <w:tc>
          <w:tcPr>
            <w:tcW w:w="1134"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东南大学，上海镜象生物科技有限公司</w:t>
            </w:r>
          </w:p>
        </w:tc>
        <w:tc>
          <w:tcPr>
            <w:tcW w:w="992" w:type="dxa"/>
            <w:vAlign w:val="center"/>
          </w:tcPr>
          <w:p>
            <w:pPr>
              <w:spacing w:line="280" w:lineRule="exact"/>
              <w:jc w:val="both"/>
              <w:rPr>
                <w:rFonts w:eastAsia="宋体"/>
                <w:bCs/>
                <w:sz w:val="20"/>
                <w:szCs w:val="20"/>
                <w:lang w:eastAsia="zh-CN"/>
                <w14:ligatures w14:val="standardContextual"/>
              </w:rPr>
            </w:pPr>
            <w:r>
              <w:rPr>
                <w:rFonts w:eastAsia="宋体"/>
                <w:sz w:val="20"/>
                <w:szCs w:val="20"/>
                <w:lang w:eastAsia="zh-CN"/>
                <w14:ligatures w14:val="standardContextual"/>
              </w:rPr>
              <w:t>刘必成，周乐汀，雷向东</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5</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发明专利</w:t>
            </w:r>
          </w:p>
        </w:tc>
        <w:tc>
          <w:tcPr>
            <w:tcW w:w="1701" w:type="dxa"/>
            <w:vAlign w:val="center"/>
          </w:tcPr>
          <w:p>
            <w:pPr>
              <w:spacing w:line="280" w:lineRule="exact"/>
              <w:rPr>
                <w:rFonts w:eastAsia="宋体"/>
                <w:bCs/>
                <w:sz w:val="20"/>
                <w:szCs w:val="20"/>
                <w:lang w:eastAsia="zh-CN"/>
                <w14:ligatures w14:val="standardContextual"/>
              </w:rPr>
            </w:pPr>
            <w:r>
              <w:rPr>
                <w:rFonts w:hint="eastAsia" w:eastAsia="宋体"/>
                <w:sz w:val="20"/>
                <w:szCs w:val="20"/>
                <w:lang w:eastAsia="zh-CN"/>
                <w14:ligatures w14:val="standardContextual"/>
              </w:rPr>
              <w:t>7-羟基香豆素在制备治疗急性肾损伤的药物中的应用</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中国</w:t>
            </w:r>
          </w:p>
        </w:tc>
        <w:tc>
          <w:tcPr>
            <w:tcW w:w="1417"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ZL201811366720.4</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2021-06-22</w:t>
            </w:r>
          </w:p>
        </w:tc>
        <w:tc>
          <w:tcPr>
            <w:tcW w:w="709" w:type="dxa"/>
            <w:vAlign w:val="center"/>
          </w:tcPr>
          <w:p>
            <w:pPr>
              <w:spacing w:line="280" w:lineRule="exact"/>
              <w:jc w:val="center"/>
              <w:rPr>
                <w:rFonts w:eastAsia="宋体"/>
                <w:bCs/>
                <w:sz w:val="20"/>
                <w:szCs w:val="20"/>
                <w:lang w:eastAsia="zh-CN"/>
                <w14:ligatures w14:val="standardContextual"/>
              </w:rPr>
            </w:pPr>
            <w:r>
              <w:rPr>
                <w:rFonts w:hint="eastAsia" w:eastAsia="宋体"/>
                <w:bCs/>
                <w:sz w:val="20"/>
                <w:szCs w:val="20"/>
                <w:lang w:eastAsia="zh-CN"/>
                <w14:ligatures w14:val="standardContextual"/>
              </w:rPr>
              <w:t>4</w:t>
            </w:r>
            <w:r>
              <w:rPr>
                <w:rFonts w:eastAsia="宋体"/>
                <w:bCs/>
                <w:sz w:val="20"/>
                <w:szCs w:val="20"/>
                <w:lang w:eastAsia="zh-CN"/>
                <w14:ligatures w14:val="standardContextual"/>
              </w:rPr>
              <w:t>504129</w:t>
            </w:r>
          </w:p>
        </w:tc>
        <w:tc>
          <w:tcPr>
            <w:tcW w:w="1134" w:type="dxa"/>
            <w:vAlign w:val="center"/>
          </w:tcPr>
          <w:p>
            <w:pPr>
              <w:spacing w:line="280" w:lineRule="exact"/>
              <w:jc w:val="center"/>
              <w:rPr>
                <w:rFonts w:eastAsia="宋体"/>
                <w:bCs/>
                <w:sz w:val="20"/>
                <w:szCs w:val="20"/>
                <w:lang w:eastAsia="zh-CN"/>
                <w14:ligatures w14:val="standardContextual"/>
              </w:rPr>
            </w:pPr>
            <w:r>
              <w:rPr>
                <w:rFonts w:hint="eastAsia" w:eastAsia="宋体"/>
                <w:sz w:val="20"/>
                <w:szCs w:val="20"/>
                <w:lang w:eastAsia="zh-CN"/>
                <w14:ligatures w14:val="standardContextual"/>
              </w:rPr>
              <w:t>安徽医科大学</w:t>
            </w:r>
          </w:p>
        </w:tc>
        <w:tc>
          <w:tcPr>
            <w:tcW w:w="992" w:type="dxa"/>
            <w:vAlign w:val="center"/>
          </w:tcPr>
          <w:p>
            <w:pPr>
              <w:spacing w:line="280" w:lineRule="exact"/>
              <w:jc w:val="both"/>
              <w:rPr>
                <w:rFonts w:eastAsia="宋体"/>
                <w:bCs/>
                <w:sz w:val="20"/>
                <w:szCs w:val="20"/>
                <w:lang w:eastAsia="zh-CN"/>
                <w14:ligatures w14:val="standardContextual"/>
              </w:rPr>
            </w:pPr>
            <w:r>
              <w:rPr>
                <w:rFonts w:hint="eastAsia" w:eastAsia="宋体"/>
                <w:sz w:val="20"/>
                <w:szCs w:val="20"/>
                <w:lang w:eastAsia="zh-CN"/>
                <w14:ligatures w14:val="standardContextual"/>
              </w:rPr>
              <w:t>孟晓明，李俊，李增，吴伟锋，汪佳男，臧洪梅，徐涛，温家根，马陶陶</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6</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发明专利</w:t>
            </w:r>
          </w:p>
        </w:tc>
        <w:tc>
          <w:tcPr>
            <w:tcW w:w="1701"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基于脂质体的囊泡分离效率评估和质控的方法</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中国</w:t>
            </w:r>
          </w:p>
        </w:tc>
        <w:tc>
          <w:tcPr>
            <w:tcW w:w="1417"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ZL201810049109.2</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2020-08-04</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3920643</w:t>
            </w:r>
          </w:p>
        </w:tc>
        <w:tc>
          <w:tcPr>
            <w:tcW w:w="1134"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北京恩泽康泰生物科技有限公司</w:t>
            </w:r>
          </w:p>
        </w:tc>
        <w:tc>
          <w:tcPr>
            <w:tcW w:w="992" w:type="dxa"/>
            <w:vAlign w:val="center"/>
          </w:tcPr>
          <w:p>
            <w:pPr>
              <w:spacing w:line="280" w:lineRule="exact"/>
              <w:jc w:val="both"/>
              <w:rPr>
                <w:rFonts w:eastAsia="宋体"/>
                <w:bCs/>
                <w:sz w:val="20"/>
                <w:szCs w:val="20"/>
                <w:lang w:eastAsia="zh-CN"/>
                <w14:ligatures w14:val="standardContextual"/>
              </w:rPr>
            </w:pPr>
            <w:r>
              <w:rPr>
                <w:rFonts w:eastAsia="宋体"/>
                <w:sz w:val="20"/>
                <w:szCs w:val="20"/>
                <w:lang w:eastAsia="zh-CN"/>
                <w14:ligatures w14:val="standardContextual"/>
              </w:rPr>
              <w:t>赵立波，孔关义，李志</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7</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发明专利</w:t>
            </w:r>
          </w:p>
        </w:tc>
        <w:tc>
          <w:tcPr>
            <w:tcW w:w="1701"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一种基于双水相系统提取体液中胞外囊泡的方法</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中国</w:t>
            </w:r>
          </w:p>
        </w:tc>
        <w:tc>
          <w:tcPr>
            <w:tcW w:w="1417"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ZL201810107478.2</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2021-01-15</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4206586</w:t>
            </w:r>
          </w:p>
        </w:tc>
        <w:tc>
          <w:tcPr>
            <w:tcW w:w="1134"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北京恩泽康泰生物科技有限公司</w:t>
            </w:r>
          </w:p>
        </w:tc>
        <w:tc>
          <w:tcPr>
            <w:tcW w:w="992" w:type="dxa"/>
            <w:vAlign w:val="center"/>
          </w:tcPr>
          <w:p>
            <w:pPr>
              <w:spacing w:line="280" w:lineRule="exact"/>
              <w:jc w:val="both"/>
              <w:rPr>
                <w:rFonts w:eastAsia="宋体"/>
                <w:bCs/>
                <w:sz w:val="20"/>
                <w:szCs w:val="20"/>
                <w:lang w:eastAsia="zh-CN"/>
                <w14:ligatures w14:val="standardContextual"/>
              </w:rPr>
            </w:pPr>
            <w:r>
              <w:rPr>
                <w:rFonts w:eastAsia="宋体"/>
                <w:sz w:val="20"/>
                <w:szCs w:val="20"/>
                <w:lang w:eastAsia="zh-CN"/>
                <w14:ligatures w14:val="standardContextual"/>
              </w:rPr>
              <w:t>赵立波，孔关义，杨玉清，谢琪琪</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8</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发明专利</w:t>
            </w:r>
          </w:p>
        </w:tc>
        <w:tc>
          <w:tcPr>
            <w:tcW w:w="1701" w:type="dxa"/>
            <w:vAlign w:val="center"/>
          </w:tcPr>
          <w:p>
            <w:pPr>
              <w:spacing w:line="280" w:lineRule="exact"/>
              <w:rPr>
                <w:rFonts w:eastAsia="宋体"/>
                <w:bCs/>
                <w:sz w:val="20"/>
                <w:szCs w:val="20"/>
                <w:lang w:eastAsia="zh-CN"/>
                <w14:ligatures w14:val="standardContextual"/>
              </w:rPr>
            </w:pPr>
            <w:r>
              <w:rPr>
                <w:rFonts w:hint="eastAsia" w:eastAsia="宋体"/>
                <w:sz w:val="20"/>
                <w:szCs w:val="20"/>
                <w:lang w:eastAsia="zh-CN"/>
                <w14:ligatures w14:val="standardContextual"/>
              </w:rPr>
              <w:t>缺氧诱导因子脯氨酰羟化酶活性抑制剂在制备防治急性肾损伤药物中的应用</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中国</w:t>
            </w:r>
          </w:p>
        </w:tc>
        <w:tc>
          <w:tcPr>
            <w:tcW w:w="1417" w:type="dxa"/>
            <w:vAlign w:val="center"/>
          </w:tcPr>
          <w:p>
            <w:pPr>
              <w:spacing w:line="280" w:lineRule="exact"/>
              <w:rPr>
                <w:rFonts w:eastAsia="宋体"/>
                <w:bCs/>
                <w:sz w:val="20"/>
                <w:szCs w:val="20"/>
                <w:lang w:eastAsia="zh-CN"/>
                <w14:ligatures w14:val="standardContextual"/>
              </w:rPr>
            </w:pPr>
            <w:r>
              <w:rPr>
                <w:rFonts w:hint="eastAsia" w:eastAsia="宋体"/>
                <w:sz w:val="20"/>
                <w:szCs w:val="20"/>
                <w:lang w:eastAsia="zh-CN"/>
                <w14:ligatures w14:val="standardContextual"/>
              </w:rPr>
              <w:t>ZL201810121241.X</w:t>
            </w:r>
          </w:p>
        </w:tc>
        <w:tc>
          <w:tcPr>
            <w:tcW w:w="709" w:type="dxa"/>
            <w:vAlign w:val="center"/>
          </w:tcPr>
          <w:p>
            <w:pPr>
              <w:spacing w:line="280" w:lineRule="exact"/>
              <w:jc w:val="center"/>
              <w:rPr>
                <w:rFonts w:eastAsia="宋体"/>
                <w:bCs/>
                <w:sz w:val="20"/>
                <w:szCs w:val="20"/>
                <w:lang w:eastAsia="zh-CN"/>
                <w14:ligatures w14:val="standardContextual"/>
              </w:rPr>
            </w:pPr>
            <w:r>
              <w:rPr>
                <w:rFonts w:hint="eastAsia" w:eastAsia="宋体"/>
                <w:sz w:val="20"/>
                <w:szCs w:val="20"/>
                <w:lang w:eastAsia="zh-CN"/>
                <w14:ligatures w14:val="standardContextual"/>
              </w:rPr>
              <w:t>2020-10-16</w:t>
            </w:r>
          </w:p>
        </w:tc>
        <w:tc>
          <w:tcPr>
            <w:tcW w:w="709" w:type="dxa"/>
            <w:vAlign w:val="center"/>
          </w:tcPr>
          <w:p>
            <w:pPr>
              <w:spacing w:line="280" w:lineRule="exact"/>
              <w:jc w:val="center"/>
              <w:rPr>
                <w:rFonts w:eastAsia="宋体"/>
                <w:bCs/>
                <w:sz w:val="20"/>
                <w:szCs w:val="20"/>
                <w:lang w:eastAsia="zh-CN"/>
                <w14:ligatures w14:val="standardContextual"/>
              </w:rPr>
            </w:pPr>
            <w:r>
              <w:rPr>
                <w:rFonts w:hint="eastAsia" w:eastAsia="宋体"/>
                <w:bCs/>
                <w:sz w:val="20"/>
                <w:szCs w:val="20"/>
                <w:lang w:eastAsia="zh-CN"/>
                <w14:ligatures w14:val="standardContextual"/>
              </w:rPr>
              <w:t>4</w:t>
            </w:r>
            <w:r>
              <w:rPr>
                <w:rFonts w:eastAsia="宋体"/>
                <w:bCs/>
                <w:sz w:val="20"/>
                <w:szCs w:val="20"/>
                <w:lang w:eastAsia="zh-CN"/>
                <w14:ligatures w14:val="standardContextual"/>
              </w:rPr>
              <w:t>033508</w:t>
            </w:r>
          </w:p>
        </w:tc>
        <w:tc>
          <w:tcPr>
            <w:tcW w:w="1134" w:type="dxa"/>
            <w:vAlign w:val="center"/>
          </w:tcPr>
          <w:p>
            <w:pPr>
              <w:spacing w:line="280" w:lineRule="exact"/>
              <w:jc w:val="center"/>
              <w:rPr>
                <w:rFonts w:eastAsia="宋体"/>
                <w:bCs/>
                <w:sz w:val="20"/>
                <w:szCs w:val="20"/>
                <w:lang w:eastAsia="zh-CN"/>
                <w14:ligatures w14:val="standardContextual"/>
              </w:rPr>
            </w:pPr>
            <w:r>
              <w:rPr>
                <w:rFonts w:hint="eastAsia" w:eastAsia="宋体"/>
                <w:sz w:val="20"/>
                <w:szCs w:val="20"/>
                <w:lang w:eastAsia="zh-CN"/>
                <w14:ligatures w14:val="standardContextual"/>
              </w:rPr>
              <w:t>南京市儿童医院</w:t>
            </w:r>
          </w:p>
        </w:tc>
        <w:tc>
          <w:tcPr>
            <w:tcW w:w="992" w:type="dxa"/>
            <w:vAlign w:val="center"/>
          </w:tcPr>
          <w:p>
            <w:pPr>
              <w:spacing w:line="280" w:lineRule="exact"/>
              <w:jc w:val="both"/>
              <w:rPr>
                <w:rFonts w:eastAsia="宋体"/>
                <w:bCs/>
                <w:sz w:val="20"/>
                <w:szCs w:val="20"/>
                <w:lang w:eastAsia="zh-CN"/>
                <w14:ligatures w14:val="standardContextual"/>
              </w:rPr>
            </w:pPr>
            <w:r>
              <w:rPr>
                <w:rFonts w:hint="eastAsia" w:eastAsia="宋体"/>
                <w:sz w:val="20"/>
                <w:szCs w:val="20"/>
                <w:lang w:eastAsia="zh-CN"/>
                <w14:ligatures w14:val="standardContextual"/>
              </w:rPr>
              <w:t>张爱华，杨运文，贾占军，刘素雯，王佩培，张文，李树珍，夏薇薇，公伟，于婧</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9</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发明专利</w:t>
            </w:r>
          </w:p>
        </w:tc>
        <w:tc>
          <w:tcPr>
            <w:tcW w:w="1701" w:type="dxa"/>
            <w:vAlign w:val="center"/>
          </w:tcPr>
          <w:p>
            <w:pPr>
              <w:spacing w:line="280" w:lineRule="exact"/>
              <w:rPr>
                <w:rFonts w:eastAsia="宋体"/>
                <w:bCs/>
                <w:sz w:val="20"/>
                <w:szCs w:val="20"/>
                <w:lang w:eastAsia="zh-CN"/>
                <w14:ligatures w14:val="standardContextual"/>
              </w:rPr>
            </w:pPr>
            <w:r>
              <w:rPr>
                <w:rFonts w:hint="eastAsia" w:eastAsia="宋体"/>
                <w:sz w:val="20"/>
                <w:szCs w:val="20"/>
                <w:lang w:eastAsia="zh-CN"/>
                <w14:ligatures w14:val="standardContextual"/>
              </w:rPr>
              <w:t>一种间充质干细胞冻存液及其冻存方法</w:t>
            </w:r>
          </w:p>
        </w:tc>
        <w:tc>
          <w:tcPr>
            <w:tcW w:w="709" w:type="dxa"/>
            <w:vAlign w:val="center"/>
          </w:tcPr>
          <w:p>
            <w:pPr>
              <w:spacing w:line="280" w:lineRule="exact"/>
              <w:jc w:val="center"/>
              <w:rPr>
                <w:rFonts w:eastAsia="宋体"/>
                <w:bCs/>
                <w:sz w:val="20"/>
                <w:szCs w:val="20"/>
                <w:lang w:eastAsia="zh-CN"/>
                <w14:ligatures w14:val="standardContextual"/>
              </w:rPr>
            </w:pPr>
            <w:r>
              <w:rPr>
                <w:rFonts w:hint="eastAsia" w:eastAsia="宋体"/>
                <w:bCs/>
                <w:sz w:val="20"/>
                <w:szCs w:val="20"/>
                <w:lang w:eastAsia="zh-CN"/>
                <w14:ligatures w14:val="standardContextual"/>
              </w:rPr>
              <w:t>中国</w:t>
            </w:r>
          </w:p>
        </w:tc>
        <w:tc>
          <w:tcPr>
            <w:tcW w:w="1417"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ZL202210446407.1</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2023-03-24</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5815005</w:t>
            </w:r>
          </w:p>
        </w:tc>
        <w:tc>
          <w:tcPr>
            <w:tcW w:w="1134" w:type="dxa"/>
            <w:vAlign w:val="center"/>
          </w:tcPr>
          <w:p>
            <w:pPr>
              <w:spacing w:line="280" w:lineRule="exact"/>
              <w:jc w:val="center"/>
              <w:rPr>
                <w:rFonts w:eastAsia="宋体"/>
                <w:bCs/>
                <w:sz w:val="20"/>
                <w:szCs w:val="20"/>
                <w:lang w:eastAsia="zh-CN"/>
                <w14:ligatures w14:val="standardContextual"/>
              </w:rPr>
            </w:pPr>
            <w:r>
              <w:rPr>
                <w:rFonts w:hint="eastAsia" w:eastAsia="宋体"/>
                <w:sz w:val="20"/>
                <w:szCs w:val="20"/>
                <w:lang w:eastAsia="zh-CN"/>
                <w14:ligatures w14:val="standardContextual"/>
              </w:rPr>
              <w:t>深圳市茵冠生物科技有限公司</w:t>
            </w:r>
          </w:p>
        </w:tc>
        <w:tc>
          <w:tcPr>
            <w:tcW w:w="992" w:type="dxa"/>
            <w:vAlign w:val="center"/>
          </w:tcPr>
          <w:p>
            <w:pPr>
              <w:spacing w:line="280" w:lineRule="exact"/>
              <w:jc w:val="both"/>
              <w:rPr>
                <w:rFonts w:eastAsia="宋体"/>
                <w:bCs/>
                <w:sz w:val="20"/>
                <w:szCs w:val="20"/>
                <w:lang w:eastAsia="zh-CN"/>
                <w14:ligatures w14:val="standardContextual"/>
              </w:rPr>
            </w:pPr>
            <w:r>
              <w:rPr>
                <w:rFonts w:hint="eastAsia" w:eastAsia="宋体"/>
                <w:sz w:val="20"/>
                <w:szCs w:val="20"/>
                <w:lang w:eastAsia="zh-CN"/>
                <w14:ligatures w14:val="standardContextual"/>
              </w:rPr>
              <w:t>纪惜銮，姜舒，张芸，刘赢滢，谢亮，翁东旭，黄伟</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280" w:lineRule="exact"/>
              <w:jc w:val="center"/>
              <w:rPr>
                <w:rFonts w:eastAsia="宋体"/>
                <w:sz w:val="20"/>
                <w:szCs w:val="20"/>
                <w:lang w:eastAsia="zh-CN"/>
                <w14:ligatures w14:val="standardContextual"/>
              </w:rPr>
            </w:pPr>
            <w:r>
              <w:rPr>
                <w:rFonts w:eastAsia="宋体"/>
                <w:sz w:val="20"/>
                <w:szCs w:val="20"/>
                <w:lang w:eastAsia="zh-CN"/>
                <w14:ligatures w14:val="standardContextual"/>
              </w:rPr>
              <w:t>10</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专著</w:t>
            </w:r>
          </w:p>
        </w:tc>
        <w:tc>
          <w:tcPr>
            <w:tcW w:w="1701"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Renal Fibrosis: Mechanisms and Therapies</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Singapore</w:t>
            </w:r>
          </w:p>
        </w:tc>
        <w:tc>
          <w:tcPr>
            <w:tcW w:w="1417" w:type="dxa"/>
            <w:vAlign w:val="center"/>
          </w:tcPr>
          <w:p>
            <w:pPr>
              <w:spacing w:line="280" w:lineRule="exact"/>
              <w:rPr>
                <w:rFonts w:eastAsia="宋体"/>
                <w:bCs/>
                <w:sz w:val="20"/>
                <w:szCs w:val="20"/>
                <w:lang w:eastAsia="zh-CN"/>
                <w14:ligatures w14:val="standardContextual"/>
              </w:rPr>
            </w:pPr>
            <w:r>
              <w:rPr>
                <w:rFonts w:eastAsia="宋体"/>
                <w:sz w:val="20"/>
                <w:szCs w:val="20"/>
                <w:lang w:eastAsia="zh-CN"/>
                <w14:ligatures w14:val="standardContextual"/>
              </w:rPr>
              <w:t>ISBN 978-981-13-8870-5</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2019</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Springer</w:t>
            </w:r>
          </w:p>
        </w:tc>
        <w:tc>
          <w:tcPr>
            <w:tcW w:w="1134"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东南大学</w:t>
            </w:r>
          </w:p>
        </w:tc>
        <w:tc>
          <w:tcPr>
            <w:tcW w:w="992" w:type="dxa"/>
            <w:vAlign w:val="center"/>
          </w:tcPr>
          <w:p>
            <w:pPr>
              <w:spacing w:line="280" w:lineRule="exact"/>
              <w:jc w:val="both"/>
              <w:rPr>
                <w:rFonts w:eastAsia="宋体"/>
                <w:bCs/>
                <w:sz w:val="20"/>
                <w:szCs w:val="20"/>
                <w:lang w:eastAsia="zh-CN"/>
                <w14:ligatures w14:val="standardContextual"/>
              </w:rPr>
            </w:pPr>
            <w:r>
              <w:rPr>
                <w:rFonts w:eastAsia="宋体"/>
                <w:sz w:val="20"/>
                <w:szCs w:val="20"/>
                <w:lang w:eastAsia="zh-CN"/>
                <w14:ligatures w14:val="standardContextual"/>
              </w:rPr>
              <w:t>刘必成，蓝辉耀，吕林莉</w:t>
            </w:r>
          </w:p>
        </w:tc>
        <w:tc>
          <w:tcPr>
            <w:tcW w:w="709" w:type="dxa"/>
            <w:vAlign w:val="center"/>
          </w:tcPr>
          <w:p>
            <w:pPr>
              <w:spacing w:line="280" w:lineRule="exact"/>
              <w:jc w:val="center"/>
              <w:rPr>
                <w:rFonts w:eastAsia="宋体"/>
                <w:bCs/>
                <w:sz w:val="20"/>
                <w:szCs w:val="20"/>
                <w:lang w:eastAsia="zh-CN"/>
                <w14:ligatures w14:val="standardContextual"/>
              </w:rPr>
            </w:pPr>
            <w:r>
              <w:rPr>
                <w:rFonts w:eastAsia="宋体"/>
                <w:sz w:val="20"/>
                <w:szCs w:val="20"/>
                <w:lang w:eastAsia="zh-CN"/>
                <w14:ligatures w14:val="standardContextual"/>
              </w:rPr>
              <w:t>有效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1NjVkOTg1NDAzZTE4YWUwNGUyYzI4MjhlYWQwNzYifQ=="/>
  </w:docVars>
  <w:rsids>
    <w:rsidRoot w:val="003816A2"/>
    <w:rsid w:val="000336A4"/>
    <w:rsid w:val="003816A2"/>
    <w:rsid w:val="00474396"/>
    <w:rsid w:val="004806CB"/>
    <w:rsid w:val="004E5358"/>
    <w:rsid w:val="0055531F"/>
    <w:rsid w:val="005F1205"/>
    <w:rsid w:val="00797D9D"/>
    <w:rsid w:val="00887FB2"/>
    <w:rsid w:val="00F61883"/>
    <w:rsid w:val="2B0F6104"/>
    <w:rsid w:val="6794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en-US"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rPr>
      <w:szCs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243</Words>
  <Characters>1387</Characters>
  <Lines>11</Lines>
  <Paragraphs>3</Paragraphs>
  <TotalTime>44</TotalTime>
  <ScaleCrop>false</ScaleCrop>
  <LinksUpToDate>false</LinksUpToDate>
  <CharactersWithSpaces>1627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2023-12-24T09:40:00Z</dcterms:created>
  <dc:creator>win</dc:creator>
  <cp:lastModifiedBy>wangxiu</cp:lastModifiedBy>
  <dcterms:modified xsi:type="dcterms:W3CDTF">2023-12-24T14:52:53Z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2D63522D592C409E8ED37CDAC1E53015_12</vt:lpwstr>
  </property>
</Properties>
</file>