
<file path=[Content_Types].xml><?xml version="1.0" encoding="utf-8"?>
<Types xmlns="http://schemas.openxmlformats.org/package/2006/content-types">
  <Default Extension="png" ContentType="image/png"/>
  <Default Extension="jpeg" ContentType="image/jpeg"/>
  <Default Extension="JPG" ContentType="image/.jp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56C65F">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default" w:ascii="方正小标宋_GBK" w:hAnsi="方正小标宋_GBK" w:eastAsia="方正小标宋_GBK" w:cs="方正小标宋_GBK"/>
          <w:b/>
          <w:bCs/>
          <w:sz w:val="48"/>
          <w:szCs w:val="48"/>
          <w:lang w:val="en-US" w:eastAsia="zh-CN"/>
        </w:rPr>
      </w:pPr>
      <w:bookmarkStart w:id="4" w:name="_GoBack"/>
      <w:bookmarkEnd w:id="4"/>
      <w:r>
        <w:rPr>
          <w:rFonts w:hint="eastAsia" w:ascii="方正小标宋_GBK" w:hAnsi="方正小标宋_GBK" w:eastAsia="方正小标宋_GBK" w:cs="方正小标宋_GBK"/>
          <w:b/>
          <w:bCs/>
          <w:sz w:val="48"/>
          <w:szCs w:val="48"/>
        </w:rPr>
        <w:t>公示内容</w:t>
      </w:r>
    </w:p>
    <w:p w14:paraId="39D235FC">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default" w:ascii="Times New Roman" w:hAnsi="Times New Roman" w:eastAsia="仿宋_GB2312" w:cs="Times New Roman"/>
          <w:b/>
          <w:bCs/>
          <w:sz w:val="32"/>
          <w:szCs w:val="32"/>
          <w:lang w:val="en-US" w:eastAsia="zh-CN"/>
        </w:rPr>
      </w:pPr>
      <w:r>
        <w:rPr>
          <w:rFonts w:hint="default" w:ascii="Times New Roman" w:hAnsi="Times New Roman" w:eastAsia="仿宋_GB2312" w:cs="Times New Roman"/>
          <w:b/>
          <w:bCs/>
          <w:sz w:val="32"/>
          <w:szCs w:val="32"/>
          <w:lang w:val="en-US" w:eastAsia="zh-CN"/>
        </w:rPr>
        <w:t>2024年安徽省重大科技成就奖</w:t>
      </w:r>
    </w:p>
    <w:p w14:paraId="6E0FD616">
      <w:pPr>
        <w:pStyle w:val="3"/>
        <w:rPr>
          <w:rFonts w:hint="default"/>
          <w:sz w:val="40"/>
          <w:szCs w:val="40"/>
          <w:lang w:val="en-US" w:eastAsia="zh-CN"/>
        </w:rPr>
      </w:pPr>
      <w:r>
        <w:rPr>
          <w:rStyle w:val="22"/>
          <w:rFonts w:hint="eastAsia" w:ascii="Times New Roman" w:hAnsi="Times New Roman"/>
          <w:b w:val="0"/>
          <w:bCs/>
          <w:sz w:val="28"/>
          <w:szCs w:val="18"/>
          <w:lang w:val="en-US"/>
        </w:rPr>
        <w:t>一、</w:t>
      </w:r>
      <w:r>
        <w:rPr>
          <w:rStyle w:val="22"/>
          <w:rFonts w:ascii="Times New Roman" w:hAnsi="Times New Roman"/>
          <w:b w:val="0"/>
          <w:bCs/>
          <w:sz w:val="28"/>
          <w:szCs w:val="18"/>
        </w:rPr>
        <w:t>候选人的基本情况</w:t>
      </w:r>
    </w:p>
    <w:tbl>
      <w:tblPr>
        <w:tblStyle w:val="10"/>
        <w:tblW w:w="9072"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093"/>
        <w:gridCol w:w="1093"/>
        <w:gridCol w:w="1068"/>
        <w:gridCol w:w="1395"/>
        <w:gridCol w:w="1134"/>
        <w:gridCol w:w="1418"/>
        <w:gridCol w:w="1871"/>
      </w:tblGrid>
      <w:tr w14:paraId="17A18E9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2" w:hRule="atLeast"/>
        </w:trPr>
        <w:tc>
          <w:tcPr>
            <w:tcW w:w="1093" w:type="dxa"/>
            <w:noWrap w:val="0"/>
            <w:vAlign w:val="center"/>
          </w:tcPr>
          <w:p w14:paraId="69A1F956">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姓    名</w:t>
            </w:r>
          </w:p>
        </w:tc>
        <w:tc>
          <w:tcPr>
            <w:tcW w:w="1093" w:type="dxa"/>
            <w:noWrap w:val="0"/>
            <w:vAlign w:val="center"/>
          </w:tcPr>
          <w:p w14:paraId="3F4E4617">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梁朝朝</w:t>
            </w:r>
          </w:p>
        </w:tc>
        <w:tc>
          <w:tcPr>
            <w:tcW w:w="1068" w:type="dxa"/>
            <w:noWrap w:val="0"/>
            <w:vAlign w:val="center"/>
          </w:tcPr>
          <w:p w14:paraId="635B835E">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性    别</w:t>
            </w:r>
          </w:p>
        </w:tc>
        <w:tc>
          <w:tcPr>
            <w:tcW w:w="1395" w:type="dxa"/>
            <w:noWrap w:val="0"/>
            <w:vAlign w:val="center"/>
          </w:tcPr>
          <w:p w14:paraId="6D65FFCB">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男</w:t>
            </w:r>
          </w:p>
        </w:tc>
        <w:tc>
          <w:tcPr>
            <w:tcW w:w="1134" w:type="dxa"/>
            <w:noWrap w:val="0"/>
            <w:vAlign w:val="center"/>
          </w:tcPr>
          <w:p w14:paraId="125B0AAF">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国    籍</w:t>
            </w:r>
          </w:p>
        </w:tc>
        <w:tc>
          <w:tcPr>
            <w:tcW w:w="1418" w:type="dxa"/>
            <w:noWrap w:val="0"/>
            <w:vAlign w:val="center"/>
          </w:tcPr>
          <w:p w14:paraId="19134E6A">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中国</w:t>
            </w:r>
          </w:p>
        </w:tc>
        <w:tc>
          <w:tcPr>
            <w:tcW w:w="1871" w:type="dxa"/>
            <w:vMerge w:val="restart"/>
            <w:noWrap w:val="0"/>
            <w:vAlign w:val="center"/>
          </w:tcPr>
          <w:p w14:paraId="0784C121">
            <w:pPr>
              <w:pStyle w:val="21"/>
              <w:keepNext w:val="0"/>
              <w:keepLines w:val="0"/>
              <w:pageBreakBefore w:val="0"/>
              <w:widowControl w:val="0"/>
              <w:kinsoku/>
              <w:wordWrap/>
              <w:overflowPunct/>
              <w:topLinePunct w:val="0"/>
              <w:autoSpaceDE/>
              <w:autoSpaceDN/>
              <w:bidi w:val="0"/>
              <w:adjustRightInd/>
              <w:spacing w:line="240" w:lineRule="auto"/>
              <w:ind w:firstLine="0" w:firstLineChars="0"/>
              <w:jc w:val="both"/>
              <w:textAlignment w:val="auto"/>
              <w:rPr>
                <w:rFonts w:ascii="Times New Roman" w:hAnsi="Times New Roman" w:eastAsia="宋体" w:cs="Times New Roman"/>
                <w:bCs/>
                <w:szCs w:val="21"/>
              </w:rPr>
            </w:pPr>
            <w:r>
              <w:rPr>
                <w:rFonts w:ascii="Times New Roman" w:hAnsi="Times New Roman" w:eastAsia="宋体" w:cs="Times New Roman"/>
                <w:bCs/>
                <w:szCs w:val="21"/>
              </w:rPr>
              <w:drawing>
                <wp:anchor distT="0" distB="0" distL="114300" distR="114300" simplePos="0" relativeHeight="251659264" behindDoc="0" locked="0" layoutInCell="1" allowOverlap="1">
                  <wp:simplePos x="0" y="0"/>
                  <wp:positionH relativeFrom="column">
                    <wp:posOffset>3810</wp:posOffset>
                  </wp:positionH>
                  <wp:positionV relativeFrom="paragraph">
                    <wp:posOffset>49530</wp:posOffset>
                  </wp:positionV>
                  <wp:extent cx="1040130" cy="1350645"/>
                  <wp:effectExtent l="0" t="0" r="1270" b="8255"/>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1040130" cy="1350645"/>
                          </a:xfrm>
                          <a:prstGeom prst="rect">
                            <a:avLst/>
                          </a:prstGeom>
                          <a:noFill/>
                          <a:ln>
                            <a:noFill/>
                          </a:ln>
                        </pic:spPr>
                      </pic:pic>
                    </a:graphicData>
                  </a:graphic>
                </wp:anchor>
              </w:drawing>
            </w:r>
          </w:p>
        </w:tc>
      </w:tr>
      <w:tr w14:paraId="294AC9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3" w:hRule="atLeast"/>
        </w:trPr>
        <w:tc>
          <w:tcPr>
            <w:tcW w:w="1093" w:type="dxa"/>
            <w:noWrap w:val="0"/>
            <w:vAlign w:val="center"/>
          </w:tcPr>
          <w:p w14:paraId="00718ED5">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身份证号</w:t>
            </w:r>
          </w:p>
        </w:tc>
        <w:tc>
          <w:tcPr>
            <w:tcW w:w="3556" w:type="dxa"/>
            <w:gridSpan w:val="3"/>
            <w:noWrap w:val="0"/>
            <w:vAlign w:val="center"/>
          </w:tcPr>
          <w:p w14:paraId="48CA2310">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rPr>
              <w:t>34010419641009203X</w:t>
            </w:r>
          </w:p>
        </w:tc>
        <w:tc>
          <w:tcPr>
            <w:tcW w:w="1134" w:type="dxa"/>
            <w:noWrap w:val="0"/>
            <w:vAlign w:val="center"/>
          </w:tcPr>
          <w:p w14:paraId="6E148A7D">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民    族</w:t>
            </w:r>
          </w:p>
        </w:tc>
        <w:tc>
          <w:tcPr>
            <w:tcW w:w="1418" w:type="dxa"/>
            <w:noWrap w:val="0"/>
            <w:vAlign w:val="center"/>
          </w:tcPr>
          <w:p w14:paraId="306EC85B">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汉族</w:t>
            </w:r>
          </w:p>
        </w:tc>
        <w:tc>
          <w:tcPr>
            <w:tcW w:w="1871" w:type="dxa"/>
            <w:vMerge w:val="continue"/>
            <w:noWrap w:val="0"/>
            <w:vAlign w:val="center"/>
          </w:tcPr>
          <w:p w14:paraId="0BAB3E98">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p>
        </w:tc>
      </w:tr>
      <w:tr w14:paraId="6DA5C1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2" w:hRule="atLeast"/>
        </w:trPr>
        <w:tc>
          <w:tcPr>
            <w:tcW w:w="1093" w:type="dxa"/>
            <w:noWrap w:val="0"/>
            <w:vAlign w:val="center"/>
          </w:tcPr>
          <w:p w14:paraId="2FB0DF9A">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出生日期</w:t>
            </w:r>
          </w:p>
        </w:tc>
        <w:tc>
          <w:tcPr>
            <w:tcW w:w="1093" w:type="dxa"/>
            <w:noWrap w:val="0"/>
            <w:vAlign w:val="center"/>
          </w:tcPr>
          <w:p w14:paraId="2424E276">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rPr>
              <w:t>19641009</w:t>
            </w:r>
          </w:p>
        </w:tc>
        <w:tc>
          <w:tcPr>
            <w:tcW w:w="1068" w:type="dxa"/>
            <w:noWrap w:val="0"/>
            <w:vAlign w:val="center"/>
          </w:tcPr>
          <w:p w14:paraId="4D135874">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出 生 地</w:t>
            </w:r>
          </w:p>
        </w:tc>
        <w:tc>
          <w:tcPr>
            <w:tcW w:w="1395" w:type="dxa"/>
            <w:noWrap w:val="0"/>
            <w:vAlign w:val="center"/>
          </w:tcPr>
          <w:p w14:paraId="210EC5DB">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lang w:val="en-US" w:eastAsia="zh-CN"/>
              </w:rPr>
              <w:t>安徽舒城</w:t>
            </w:r>
          </w:p>
        </w:tc>
        <w:tc>
          <w:tcPr>
            <w:tcW w:w="1134" w:type="dxa"/>
            <w:noWrap w:val="0"/>
            <w:vAlign w:val="center"/>
          </w:tcPr>
          <w:p w14:paraId="1631751E">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从事专业</w:t>
            </w:r>
          </w:p>
        </w:tc>
        <w:tc>
          <w:tcPr>
            <w:tcW w:w="1418" w:type="dxa"/>
            <w:noWrap w:val="0"/>
            <w:vAlign w:val="center"/>
          </w:tcPr>
          <w:p w14:paraId="6142181A">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lang w:val="en-US" w:eastAsia="zh-CN"/>
              </w:rPr>
              <w:t>外科学-泌</w:t>
            </w:r>
          </w:p>
          <w:p w14:paraId="481F2BA0">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lang w:val="en-US" w:eastAsia="zh-CN"/>
              </w:rPr>
              <w:t>尿外科学</w:t>
            </w:r>
          </w:p>
        </w:tc>
        <w:tc>
          <w:tcPr>
            <w:tcW w:w="1871" w:type="dxa"/>
            <w:vMerge w:val="continue"/>
            <w:noWrap w:val="0"/>
            <w:vAlign w:val="center"/>
          </w:tcPr>
          <w:p w14:paraId="1D236B74">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p>
        </w:tc>
      </w:tr>
      <w:tr w14:paraId="31B1DC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09" w:hRule="atLeast"/>
        </w:trPr>
        <w:tc>
          <w:tcPr>
            <w:tcW w:w="1093" w:type="dxa"/>
            <w:noWrap w:val="0"/>
            <w:vAlign w:val="center"/>
          </w:tcPr>
          <w:p w14:paraId="1DC7412B">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文化程度</w:t>
            </w:r>
          </w:p>
        </w:tc>
        <w:tc>
          <w:tcPr>
            <w:tcW w:w="1093" w:type="dxa"/>
            <w:noWrap w:val="0"/>
            <w:vAlign w:val="center"/>
          </w:tcPr>
          <w:p w14:paraId="60FFFA7F">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博士研究生</w:t>
            </w:r>
          </w:p>
        </w:tc>
        <w:tc>
          <w:tcPr>
            <w:tcW w:w="1068" w:type="dxa"/>
            <w:noWrap w:val="0"/>
            <w:vAlign w:val="center"/>
          </w:tcPr>
          <w:p w14:paraId="568BCF1D">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学    位</w:t>
            </w:r>
          </w:p>
        </w:tc>
        <w:tc>
          <w:tcPr>
            <w:tcW w:w="1395" w:type="dxa"/>
            <w:noWrap w:val="0"/>
            <w:vAlign w:val="center"/>
          </w:tcPr>
          <w:p w14:paraId="608683ED">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博士</w:t>
            </w:r>
          </w:p>
        </w:tc>
        <w:tc>
          <w:tcPr>
            <w:tcW w:w="1134" w:type="dxa"/>
            <w:noWrap w:val="0"/>
            <w:vAlign w:val="center"/>
          </w:tcPr>
          <w:p w14:paraId="560C6B8E">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授予时间</w:t>
            </w:r>
          </w:p>
        </w:tc>
        <w:tc>
          <w:tcPr>
            <w:tcW w:w="1418" w:type="dxa"/>
            <w:noWrap w:val="0"/>
            <w:vAlign w:val="center"/>
          </w:tcPr>
          <w:p w14:paraId="495972BE">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lang w:val="en-US" w:eastAsia="zh-CN"/>
              </w:rPr>
              <w:t>2006-06-22</w:t>
            </w:r>
          </w:p>
        </w:tc>
        <w:tc>
          <w:tcPr>
            <w:tcW w:w="1871" w:type="dxa"/>
            <w:vMerge w:val="continue"/>
            <w:noWrap w:val="0"/>
            <w:vAlign w:val="center"/>
          </w:tcPr>
          <w:p w14:paraId="4D4FB080">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p>
        </w:tc>
      </w:tr>
      <w:tr w14:paraId="200E9C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2" w:hRule="atLeast"/>
        </w:trPr>
        <w:tc>
          <w:tcPr>
            <w:tcW w:w="1093" w:type="dxa"/>
            <w:noWrap w:val="0"/>
            <w:vAlign w:val="center"/>
          </w:tcPr>
          <w:p w14:paraId="7663FEDE">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院    士</w:t>
            </w:r>
          </w:p>
        </w:tc>
        <w:tc>
          <w:tcPr>
            <w:tcW w:w="1093" w:type="dxa"/>
            <w:noWrap w:val="0"/>
            <w:vAlign w:val="center"/>
          </w:tcPr>
          <w:p w14:paraId="1AB67B05">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否</w:t>
            </w:r>
          </w:p>
        </w:tc>
        <w:tc>
          <w:tcPr>
            <w:tcW w:w="1068" w:type="dxa"/>
            <w:noWrap w:val="0"/>
            <w:vAlign w:val="center"/>
          </w:tcPr>
          <w:p w14:paraId="7CDE0624">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当选时间</w:t>
            </w:r>
          </w:p>
        </w:tc>
        <w:tc>
          <w:tcPr>
            <w:tcW w:w="1395" w:type="dxa"/>
            <w:noWrap w:val="0"/>
            <w:vAlign w:val="center"/>
          </w:tcPr>
          <w:p w14:paraId="081934FF">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w:t>
            </w:r>
          </w:p>
        </w:tc>
        <w:tc>
          <w:tcPr>
            <w:tcW w:w="1134" w:type="dxa"/>
            <w:noWrap w:val="0"/>
            <w:vAlign w:val="center"/>
          </w:tcPr>
          <w:p w14:paraId="7C3BF9EF">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党    派</w:t>
            </w:r>
          </w:p>
        </w:tc>
        <w:tc>
          <w:tcPr>
            <w:tcW w:w="3289" w:type="dxa"/>
            <w:gridSpan w:val="2"/>
            <w:noWrap w:val="0"/>
            <w:vAlign w:val="center"/>
          </w:tcPr>
          <w:p w14:paraId="041DB8E3">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中国共产党</w:t>
            </w:r>
          </w:p>
        </w:tc>
      </w:tr>
      <w:tr w14:paraId="7D7ACB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3" w:hRule="atLeast"/>
        </w:trPr>
        <w:tc>
          <w:tcPr>
            <w:tcW w:w="1093" w:type="dxa"/>
            <w:noWrap w:val="0"/>
            <w:vAlign w:val="center"/>
          </w:tcPr>
          <w:p w14:paraId="08304B67">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职    称</w:t>
            </w:r>
          </w:p>
        </w:tc>
        <w:tc>
          <w:tcPr>
            <w:tcW w:w="1093" w:type="dxa"/>
            <w:noWrap w:val="0"/>
            <w:vAlign w:val="center"/>
          </w:tcPr>
          <w:p w14:paraId="71007AD4">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教授</w:t>
            </w:r>
          </w:p>
        </w:tc>
        <w:tc>
          <w:tcPr>
            <w:tcW w:w="1068" w:type="dxa"/>
            <w:noWrap w:val="0"/>
            <w:vAlign w:val="center"/>
          </w:tcPr>
          <w:p w14:paraId="277D2B3F">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职    务</w:t>
            </w:r>
          </w:p>
        </w:tc>
        <w:tc>
          <w:tcPr>
            <w:tcW w:w="1395" w:type="dxa"/>
            <w:noWrap w:val="0"/>
            <w:vAlign w:val="center"/>
          </w:tcPr>
          <w:p w14:paraId="4D68FFA9">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default" w:ascii="Times New Roman" w:hAnsi="Times New Roman" w:eastAsia="宋体" w:cs="Times New Roman"/>
                <w:bCs/>
                <w:szCs w:val="21"/>
                <w:lang w:val="en-US" w:eastAsia="zh-CN"/>
              </w:rPr>
              <w:t>泌尿男科疾病研究与医学转化安徽省重点实验室主任</w:t>
            </w:r>
          </w:p>
        </w:tc>
        <w:tc>
          <w:tcPr>
            <w:tcW w:w="1134" w:type="dxa"/>
            <w:noWrap w:val="0"/>
            <w:vAlign w:val="center"/>
          </w:tcPr>
          <w:p w14:paraId="161DE383">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电子邮箱</w:t>
            </w:r>
          </w:p>
        </w:tc>
        <w:tc>
          <w:tcPr>
            <w:tcW w:w="3289" w:type="dxa"/>
            <w:gridSpan w:val="2"/>
            <w:noWrap w:val="0"/>
            <w:vAlign w:val="center"/>
          </w:tcPr>
          <w:p w14:paraId="1BACBE25">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fldChar w:fldCharType="begin"/>
            </w:r>
            <w:r>
              <w:rPr>
                <w:rFonts w:hint="eastAsia" w:ascii="Times New Roman" w:hAnsi="Times New Roman" w:eastAsia="宋体" w:cs="Times New Roman"/>
                <w:bCs/>
                <w:szCs w:val="21"/>
                <w:lang w:val="en-US" w:eastAsia="zh-CN"/>
              </w:rPr>
              <w:instrText xml:space="preserve"> HYPERLINK "mailto:Liang_chaozhao@163.com" </w:instrText>
            </w:r>
            <w:r>
              <w:rPr>
                <w:rFonts w:hint="eastAsia" w:ascii="Times New Roman" w:hAnsi="Times New Roman" w:eastAsia="宋体" w:cs="Times New Roman"/>
                <w:bCs/>
                <w:szCs w:val="21"/>
                <w:lang w:val="en-US" w:eastAsia="zh-CN"/>
              </w:rPr>
              <w:fldChar w:fldCharType="separate"/>
            </w:r>
            <w:r>
              <w:rPr>
                <w:rFonts w:hint="eastAsia" w:ascii="Times New Roman" w:hAnsi="Times New Roman" w:eastAsia="宋体" w:cs="Times New Roman"/>
                <w:bCs/>
                <w:szCs w:val="21"/>
                <w:lang w:val="en-US" w:eastAsia="zh-CN"/>
              </w:rPr>
              <w:t>Liang_chaozhao@163.com</w:t>
            </w:r>
            <w:r>
              <w:rPr>
                <w:rFonts w:hint="eastAsia" w:ascii="Times New Roman" w:hAnsi="Times New Roman" w:eastAsia="宋体" w:cs="Times New Roman"/>
                <w:bCs/>
                <w:szCs w:val="21"/>
                <w:lang w:val="en-US" w:eastAsia="zh-CN"/>
              </w:rPr>
              <w:fldChar w:fldCharType="end"/>
            </w:r>
          </w:p>
        </w:tc>
      </w:tr>
      <w:tr w14:paraId="6311256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3" w:hRule="atLeast"/>
        </w:trPr>
        <w:tc>
          <w:tcPr>
            <w:tcW w:w="1093" w:type="dxa"/>
            <w:vMerge w:val="restart"/>
            <w:noWrap w:val="0"/>
            <w:vAlign w:val="center"/>
          </w:tcPr>
          <w:p w14:paraId="792AFD8F">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学科分类名称</w:t>
            </w:r>
          </w:p>
        </w:tc>
        <w:tc>
          <w:tcPr>
            <w:tcW w:w="1093" w:type="dxa"/>
            <w:noWrap w:val="0"/>
            <w:vAlign w:val="center"/>
          </w:tcPr>
          <w:p w14:paraId="3FF450F9">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1</w:t>
            </w:r>
          </w:p>
        </w:tc>
        <w:tc>
          <w:tcPr>
            <w:tcW w:w="2463" w:type="dxa"/>
            <w:gridSpan w:val="2"/>
            <w:noWrap w:val="0"/>
            <w:vAlign w:val="center"/>
          </w:tcPr>
          <w:p w14:paraId="3876486D">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H0513.前列腺疾病</w:t>
            </w:r>
          </w:p>
        </w:tc>
        <w:tc>
          <w:tcPr>
            <w:tcW w:w="1134" w:type="dxa"/>
            <w:noWrap w:val="0"/>
            <w:vAlign w:val="center"/>
          </w:tcPr>
          <w:p w14:paraId="1CABE1A4">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代    码</w:t>
            </w:r>
          </w:p>
        </w:tc>
        <w:tc>
          <w:tcPr>
            <w:tcW w:w="3289" w:type="dxa"/>
            <w:gridSpan w:val="2"/>
            <w:noWrap w:val="0"/>
            <w:vAlign w:val="center"/>
          </w:tcPr>
          <w:p w14:paraId="141B4AE9">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H05</w:t>
            </w:r>
            <w:r>
              <w:rPr>
                <w:rFonts w:hint="eastAsia" w:ascii="Times New Roman" w:cs="Times New Roman"/>
                <w:bCs/>
                <w:szCs w:val="21"/>
                <w:lang w:val="en-US" w:eastAsia="zh-CN"/>
              </w:rPr>
              <w:t>13</w:t>
            </w:r>
          </w:p>
        </w:tc>
      </w:tr>
      <w:tr w14:paraId="4CCFFDB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3" w:hRule="atLeast"/>
        </w:trPr>
        <w:tc>
          <w:tcPr>
            <w:tcW w:w="1093" w:type="dxa"/>
            <w:vMerge w:val="continue"/>
            <w:noWrap w:val="0"/>
            <w:vAlign w:val="center"/>
          </w:tcPr>
          <w:p w14:paraId="41764093">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p>
        </w:tc>
        <w:tc>
          <w:tcPr>
            <w:tcW w:w="1093" w:type="dxa"/>
            <w:noWrap w:val="0"/>
            <w:vAlign w:val="center"/>
          </w:tcPr>
          <w:p w14:paraId="2F5A71BA">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2</w:t>
            </w:r>
          </w:p>
        </w:tc>
        <w:tc>
          <w:tcPr>
            <w:tcW w:w="2463" w:type="dxa"/>
            <w:gridSpan w:val="2"/>
            <w:noWrap w:val="0"/>
            <w:vAlign w:val="center"/>
          </w:tcPr>
          <w:p w14:paraId="6CAC475F">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rPr>
              <w:t>H0517.泌尿系统疾病诊疗新技术</w:t>
            </w:r>
          </w:p>
        </w:tc>
        <w:tc>
          <w:tcPr>
            <w:tcW w:w="1134" w:type="dxa"/>
            <w:noWrap w:val="0"/>
            <w:vAlign w:val="center"/>
          </w:tcPr>
          <w:p w14:paraId="34689F77">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代    码</w:t>
            </w:r>
          </w:p>
        </w:tc>
        <w:tc>
          <w:tcPr>
            <w:tcW w:w="3289" w:type="dxa"/>
            <w:gridSpan w:val="2"/>
            <w:noWrap w:val="0"/>
            <w:vAlign w:val="center"/>
          </w:tcPr>
          <w:p w14:paraId="792EB956">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rPr>
              <w:t>H0517</w:t>
            </w:r>
          </w:p>
        </w:tc>
      </w:tr>
      <w:tr w14:paraId="3CF59E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3" w:hRule="atLeast"/>
        </w:trPr>
        <w:tc>
          <w:tcPr>
            <w:tcW w:w="1093" w:type="dxa"/>
            <w:vMerge w:val="continue"/>
            <w:noWrap w:val="0"/>
            <w:vAlign w:val="center"/>
          </w:tcPr>
          <w:p w14:paraId="7959B8DF">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p>
        </w:tc>
        <w:tc>
          <w:tcPr>
            <w:tcW w:w="1093" w:type="dxa"/>
            <w:noWrap w:val="0"/>
            <w:vAlign w:val="center"/>
          </w:tcPr>
          <w:p w14:paraId="4F2FE5FE">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3</w:t>
            </w:r>
          </w:p>
        </w:tc>
        <w:tc>
          <w:tcPr>
            <w:tcW w:w="2463" w:type="dxa"/>
            <w:gridSpan w:val="2"/>
            <w:noWrap w:val="0"/>
            <w:vAlign w:val="center"/>
          </w:tcPr>
          <w:p w14:paraId="5C169D51">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rPr>
              <w:t>H1619.泌尿系统肿瘤</w:t>
            </w:r>
          </w:p>
        </w:tc>
        <w:tc>
          <w:tcPr>
            <w:tcW w:w="1134" w:type="dxa"/>
            <w:noWrap w:val="0"/>
            <w:vAlign w:val="center"/>
          </w:tcPr>
          <w:p w14:paraId="0BE8EB6A">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代    码</w:t>
            </w:r>
          </w:p>
        </w:tc>
        <w:tc>
          <w:tcPr>
            <w:tcW w:w="3289" w:type="dxa"/>
            <w:gridSpan w:val="2"/>
            <w:noWrap w:val="0"/>
            <w:vAlign w:val="center"/>
          </w:tcPr>
          <w:p w14:paraId="5955C383">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rPr>
              <w:t>H1619</w:t>
            </w:r>
          </w:p>
        </w:tc>
      </w:tr>
      <w:tr w14:paraId="2A7591E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61" w:hRule="atLeast"/>
        </w:trPr>
        <w:tc>
          <w:tcPr>
            <w:tcW w:w="1093" w:type="dxa"/>
            <w:vMerge w:val="restart"/>
            <w:noWrap w:val="0"/>
            <w:vAlign w:val="center"/>
          </w:tcPr>
          <w:p w14:paraId="761DCA7C">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工作单位</w:t>
            </w:r>
          </w:p>
        </w:tc>
        <w:tc>
          <w:tcPr>
            <w:tcW w:w="1093" w:type="dxa"/>
            <w:noWrap w:val="0"/>
            <w:vAlign w:val="center"/>
          </w:tcPr>
          <w:p w14:paraId="442EEB0C">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名    称</w:t>
            </w:r>
          </w:p>
        </w:tc>
        <w:tc>
          <w:tcPr>
            <w:tcW w:w="6886" w:type="dxa"/>
            <w:gridSpan w:val="5"/>
            <w:noWrap w:val="0"/>
            <w:vAlign w:val="center"/>
          </w:tcPr>
          <w:p w14:paraId="378199DB">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安徽医科大学第一附属医院</w:t>
            </w:r>
          </w:p>
        </w:tc>
      </w:tr>
      <w:tr w14:paraId="105374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9" w:hRule="atLeast"/>
        </w:trPr>
        <w:tc>
          <w:tcPr>
            <w:tcW w:w="1093" w:type="dxa"/>
            <w:vMerge w:val="continue"/>
            <w:noWrap w:val="0"/>
            <w:vAlign w:val="center"/>
          </w:tcPr>
          <w:p w14:paraId="09FA8E6F">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p>
        </w:tc>
        <w:tc>
          <w:tcPr>
            <w:tcW w:w="1093" w:type="dxa"/>
            <w:noWrap w:val="0"/>
            <w:vAlign w:val="center"/>
          </w:tcPr>
          <w:p w14:paraId="1508F9C8">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地    址</w:t>
            </w:r>
          </w:p>
        </w:tc>
        <w:tc>
          <w:tcPr>
            <w:tcW w:w="2463" w:type="dxa"/>
            <w:gridSpan w:val="2"/>
            <w:noWrap w:val="0"/>
            <w:vAlign w:val="center"/>
          </w:tcPr>
          <w:p w14:paraId="5BB15047">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rPr>
              <w:t>安徽省合肥市蜀山区绩溪路</w:t>
            </w:r>
            <w:r>
              <w:rPr>
                <w:rFonts w:hint="eastAsia" w:ascii="Times New Roman" w:hAnsi="Times New Roman" w:eastAsia="宋体" w:cs="Times New Roman"/>
                <w:bCs/>
                <w:szCs w:val="21"/>
                <w:lang w:val="en-US" w:eastAsia="zh-CN"/>
              </w:rPr>
              <w:t>218</w:t>
            </w:r>
            <w:r>
              <w:rPr>
                <w:rFonts w:hint="eastAsia" w:ascii="Times New Roman" w:hAnsi="Times New Roman" w:eastAsia="宋体" w:cs="Times New Roman"/>
                <w:bCs/>
                <w:szCs w:val="21"/>
              </w:rPr>
              <w:t>号</w:t>
            </w:r>
          </w:p>
        </w:tc>
        <w:tc>
          <w:tcPr>
            <w:tcW w:w="1134" w:type="dxa"/>
            <w:noWrap w:val="0"/>
            <w:vAlign w:val="center"/>
          </w:tcPr>
          <w:p w14:paraId="24D2238A">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邮政编码</w:t>
            </w:r>
          </w:p>
        </w:tc>
        <w:tc>
          <w:tcPr>
            <w:tcW w:w="3289" w:type="dxa"/>
            <w:gridSpan w:val="2"/>
            <w:noWrap w:val="0"/>
            <w:vAlign w:val="center"/>
          </w:tcPr>
          <w:p w14:paraId="2321DC9E">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230022</w:t>
            </w:r>
          </w:p>
        </w:tc>
      </w:tr>
      <w:tr w14:paraId="25F126E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59" w:hRule="atLeast"/>
        </w:trPr>
        <w:tc>
          <w:tcPr>
            <w:tcW w:w="1093" w:type="dxa"/>
            <w:vMerge w:val="continue"/>
            <w:noWrap w:val="0"/>
            <w:vAlign w:val="center"/>
          </w:tcPr>
          <w:p w14:paraId="6115DBD9">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p>
        </w:tc>
        <w:tc>
          <w:tcPr>
            <w:tcW w:w="1093" w:type="dxa"/>
            <w:noWrap w:val="0"/>
            <w:vAlign w:val="center"/>
          </w:tcPr>
          <w:p w14:paraId="75650B0F">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电    话</w:t>
            </w:r>
          </w:p>
        </w:tc>
        <w:tc>
          <w:tcPr>
            <w:tcW w:w="2463" w:type="dxa"/>
            <w:gridSpan w:val="2"/>
            <w:noWrap w:val="0"/>
            <w:vAlign w:val="center"/>
          </w:tcPr>
          <w:p w14:paraId="534BE57C">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0551-62922773</w:t>
            </w:r>
          </w:p>
        </w:tc>
        <w:tc>
          <w:tcPr>
            <w:tcW w:w="1134" w:type="dxa"/>
            <w:noWrap w:val="0"/>
            <w:vAlign w:val="center"/>
          </w:tcPr>
          <w:p w14:paraId="08C16285">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传    真</w:t>
            </w:r>
          </w:p>
        </w:tc>
        <w:tc>
          <w:tcPr>
            <w:tcW w:w="3289" w:type="dxa"/>
            <w:gridSpan w:val="2"/>
            <w:noWrap w:val="0"/>
            <w:vAlign w:val="center"/>
          </w:tcPr>
          <w:p w14:paraId="246FE832">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rPr>
              <w:t>0551-63633742</w:t>
            </w:r>
          </w:p>
        </w:tc>
      </w:tr>
      <w:tr w14:paraId="3B624C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59" w:hRule="atLeast"/>
        </w:trPr>
        <w:tc>
          <w:tcPr>
            <w:tcW w:w="1093" w:type="dxa"/>
            <w:vMerge w:val="continue"/>
            <w:noWrap w:val="0"/>
            <w:vAlign w:val="center"/>
          </w:tcPr>
          <w:p w14:paraId="14490746">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p>
        </w:tc>
        <w:tc>
          <w:tcPr>
            <w:tcW w:w="1093" w:type="dxa"/>
            <w:noWrap w:val="0"/>
            <w:vAlign w:val="center"/>
          </w:tcPr>
          <w:p w14:paraId="53264F0C">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电子邮箱</w:t>
            </w:r>
          </w:p>
        </w:tc>
        <w:tc>
          <w:tcPr>
            <w:tcW w:w="6886" w:type="dxa"/>
            <w:gridSpan w:val="5"/>
            <w:noWrap w:val="0"/>
            <w:vAlign w:val="center"/>
          </w:tcPr>
          <w:p w14:paraId="6FE94209">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rPr>
              <w:t>ayfykycgg@126.com</w:t>
            </w:r>
          </w:p>
        </w:tc>
      </w:tr>
      <w:tr w14:paraId="3DA1DB6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63" w:hRule="atLeast"/>
        </w:trPr>
        <w:tc>
          <w:tcPr>
            <w:tcW w:w="1093" w:type="dxa"/>
            <w:vMerge w:val="restart"/>
            <w:noWrap w:val="0"/>
            <w:vAlign w:val="center"/>
          </w:tcPr>
          <w:p w14:paraId="65FD1C6C">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住    宅</w:t>
            </w:r>
          </w:p>
        </w:tc>
        <w:tc>
          <w:tcPr>
            <w:tcW w:w="1093" w:type="dxa"/>
            <w:noWrap w:val="0"/>
            <w:vAlign w:val="center"/>
          </w:tcPr>
          <w:p w14:paraId="4D310FD0">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地    址</w:t>
            </w:r>
          </w:p>
        </w:tc>
        <w:tc>
          <w:tcPr>
            <w:tcW w:w="2463" w:type="dxa"/>
            <w:gridSpan w:val="2"/>
            <w:noWrap w:val="0"/>
            <w:vAlign w:val="center"/>
          </w:tcPr>
          <w:p w14:paraId="1CB88F4F">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rPr>
              <w:t>安徽省合肥市蜀山区绩溪路</w:t>
            </w:r>
            <w:r>
              <w:rPr>
                <w:rFonts w:hint="eastAsia" w:ascii="Times New Roman" w:hAnsi="Times New Roman" w:eastAsia="宋体" w:cs="Times New Roman"/>
                <w:bCs/>
                <w:szCs w:val="21"/>
                <w:lang w:val="en-US" w:eastAsia="zh-CN"/>
              </w:rPr>
              <w:t>210</w:t>
            </w:r>
            <w:r>
              <w:rPr>
                <w:rFonts w:hint="eastAsia" w:ascii="Times New Roman" w:hAnsi="Times New Roman" w:eastAsia="宋体" w:cs="Times New Roman"/>
                <w:bCs/>
                <w:szCs w:val="21"/>
              </w:rPr>
              <w:t>号</w:t>
            </w:r>
          </w:p>
        </w:tc>
        <w:tc>
          <w:tcPr>
            <w:tcW w:w="1134" w:type="dxa"/>
            <w:noWrap w:val="0"/>
            <w:vAlign w:val="center"/>
          </w:tcPr>
          <w:p w14:paraId="6FD19186">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邮政编码</w:t>
            </w:r>
          </w:p>
        </w:tc>
        <w:tc>
          <w:tcPr>
            <w:tcW w:w="3289" w:type="dxa"/>
            <w:gridSpan w:val="2"/>
            <w:noWrap w:val="0"/>
            <w:vAlign w:val="center"/>
          </w:tcPr>
          <w:p w14:paraId="5CF198A3">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rPr>
              <w:t>230022</w:t>
            </w:r>
          </w:p>
        </w:tc>
      </w:tr>
      <w:tr w14:paraId="1C6FA4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69" w:hRule="atLeast"/>
        </w:trPr>
        <w:tc>
          <w:tcPr>
            <w:tcW w:w="1093" w:type="dxa"/>
            <w:vMerge w:val="continue"/>
            <w:noWrap w:val="0"/>
            <w:vAlign w:val="center"/>
          </w:tcPr>
          <w:p w14:paraId="3BC8ECE5">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p>
        </w:tc>
        <w:tc>
          <w:tcPr>
            <w:tcW w:w="1093" w:type="dxa"/>
            <w:noWrap w:val="0"/>
            <w:vAlign w:val="center"/>
          </w:tcPr>
          <w:p w14:paraId="5DDDDA9B">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手    机</w:t>
            </w:r>
          </w:p>
        </w:tc>
        <w:tc>
          <w:tcPr>
            <w:tcW w:w="2463" w:type="dxa"/>
            <w:gridSpan w:val="2"/>
            <w:noWrap w:val="0"/>
            <w:vAlign w:val="center"/>
          </w:tcPr>
          <w:p w14:paraId="304AD409">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rPr>
              <w:t>13505604595</w:t>
            </w:r>
          </w:p>
        </w:tc>
        <w:tc>
          <w:tcPr>
            <w:tcW w:w="1134" w:type="dxa"/>
            <w:noWrap w:val="0"/>
            <w:vAlign w:val="center"/>
          </w:tcPr>
          <w:p w14:paraId="21A60005">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传    真</w:t>
            </w:r>
          </w:p>
        </w:tc>
        <w:tc>
          <w:tcPr>
            <w:tcW w:w="3289" w:type="dxa"/>
            <w:gridSpan w:val="2"/>
            <w:noWrap w:val="0"/>
            <w:vAlign w:val="center"/>
          </w:tcPr>
          <w:p w14:paraId="4955D528">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hint="eastAsia" w:ascii="Times New Roman" w:hAnsi="Times New Roman" w:eastAsia="宋体" w:cs="Times New Roman"/>
                <w:bCs/>
                <w:szCs w:val="21"/>
              </w:rPr>
              <w:t>0551-63633742</w:t>
            </w:r>
          </w:p>
        </w:tc>
      </w:tr>
      <w:tr w14:paraId="2BFC7B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69" w:hRule="atLeast"/>
        </w:trPr>
        <w:tc>
          <w:tcPr>
            <w:tcW w:w="2186" w:type="dxa"/>
            <w:gridSpan w:val="2"/>
            <w:noWrap w:val="0"/>
            <w:vAlign w:val="center"/>
          </w:tcPr>
          <w:p w14:paraId="0219D6F5">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提名单位（盖章）</w:t>
            </w:r>
          </w:p>
          <w:p w14:paraId="05A8E068">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ascii="Times New Roman" w:hAnsi="Times New Roman" w:eastAsia="宋体" w:cs="Times New Roman"/>
                <w:bCs/>
                <w:szCs w:val="21"/>
              </w:rPr>
            </w:pPr>
            <w:r>
              <w:rPr>
                <w:rFonts w:ascii="Times New Roman" w:hAnsi="Times New Roman" w:eastAsia="宋体" w:cs="Times New Roman"/>
                <w:bCs/>
                <w:szCs w:val="21"/>
              </w:rPr>
              <w:t>或提名专家</w:t>
            </w:r>
          </w:p>
        </w:tc>
        <w:tc>
          <w:tcPr>
            <w:tcW w:w="6886" w:type="dxa"/>
            <w:gridSpan w:val="5"/>
            <w:noWrap w:val="0"/>
            <w:vAlign w:val="center"/>
          </w:tcPr>
          <w:p w14:paraId="04C24F86">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安徽医科大学</w:t>
            </w:r>
          </w:p>
        </w:tc>
      </w:tr>
      <w:tr w14:paraId="708502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595" w:hRule="atLeast"/>
        </w:trPr>
        <w:tc>
          <w:tcPr>
            <w:tcW w:w="9072" w:type="dxa"/>
            <w:gridSpan w:val="7"/>
            <w:noWrap w:val="0"/>
            <w:vAlign w:val="top"/>
          </w:tcPr>
          <w:p w14:paraId="6647319D">
            <w:pPr>
              <w:pStyle w:val="21"/>
              <w:keepNext w:val="0"/>
              <w:keepLines w:val="0"/>
              <w:pageBreakBefore w:val="0"/>
              <w:widowControl w:val="0"/>
              <w:kinsoku/>
              <w:wordWrap/>
              <w:overflowPunct/>
              <w:topLinePunct w:val="0"/>
              <w:autoSpaceDE/>
              <w:autoSpaceDN/>
              <w:bidi w:val="0"/>
              <w:adjustRightInd/>
              <w:spacing w:line="240" w:lineRule="auto"/>
              <w:ind w:firstLine="0" w:firstLineChars="0"/>
              <w:jc w:val="left"/>
              <w:textAlignment w:val="auto"/>
              <w:rPr>
                <w:rFonts w:ascii="Times New Roman" w:hAnsi="Times New Roman" w:eastAsia="宋体" w:cs="Times New Roman"/>
                <w:bCs/>
                <w:szCs w:val="21"/>
              </w:rPr>
            </w:pPr>
            <w:r>
              <w:rPr>
                <w:rFonts w:ascii="Times New Roman" w:hAnsi="Times New Roman" w:eastAsia="宋体" w:cs="Times New Roman"/>
                <w:bCs/>
                <w:szCs w:val="21"/>
              </w:rPr>
              <w:t>受教育情况：（从大学填起）</w:t>
            </w:r>
          </w:p>
          <w:p w14:paraId="4B33593C">
            <w:pPr>
              <w:pStyle w:val="21"/>
              <w:keepNext w:val="0"/>
              <w:keepLines w:val="0"/>
              <w:pageBreakBefore w:val="0"/>
              <w:widowControl w:val="0"/>
              <w:kinsoku/>
              <w:wordWrap/>
              <w:overflowPunct/>
              <w:topLinePunct w:val="0"/>
              <w:autoSpaceDE/>
              <w:autoSpaceDN/>
              <w:bidi w:val="0"/>
              <w:adjustRightInd/>
              <w:spacing w:line="240" w:lineRule="auto"/>
              <w:ind w:firstLine="0" w:firstLineChars="0"/>
              <w:jc w:val="left"/>
              <w:textAlignment w:val="auto"/>
              <w:rPr>
                <w:rFonts w:hint="eastAsia" w:ascii="Times New Roman" w:hAnsi="Times New Roman" w:eastAsia="宋体" w:cs="Times New Roman"/>
                <w:bCs/>
                <w:szCs w:val="21"/>
              </w:rPr>
            </w:pPr>
            <w:r>
              <w:rPr>
                <w:rFonts w:hint="eastAsia" w:ascii="Times New Roman" w:hAnsi="Times New Roman" w:eastAsia="宋体" w:cs="Times New Roman"/>
                <w:bCs/>
                <w:szCs w:val="21"/>
              </w:rPr>
              <w:t>1984年9月-1989年6月</w:t>
            </w:r>
            <w:r>
              <w:rPr>
                <w:rFonts w:hint="eastAsia" w:ascii="Times New Roman" w:cs="Times New Roman"/>
                <w:bCs/>
                <w:szCs w:val="21"/>
                <w:lang w:val="en-US" w:eastAsia="zh-CN"/>
              </w:rPr>
              <w:t xml:space="preserve"> </w:t>
            </w:r>
            <w:r>
              <w:rPr>
                <w:rFonts w:hint="eastAsia" w:ascii="Times New Roman" w:hAnsi="Times New Roman" w:eastAsia="宋体" w:cs="Times New Roman"/>
                <w:bCs/>
                <w:szCs w:val="21"/>
              </w:rPr>
              <w:t>安徽医科大学</w:t>
            </w:r>
            <w:r>
              <w:rPr>
                <w:rFonts w:hint="eastAsia" w:ascii="Times New Roman" w:hAnsi="Times New Roman" w:eastAsia="宋体" w:cs="Times New Roman"/>
                <w:bCs/>
                <w:szCs w:val="21"/>
                <w:lang w:val="en-US" w:eastAsia="zh-CN"/>
              </w:rPr>
              <w:t xml:space="preserve"> </w:t>
            </w:r>
            <w:r>
              <w:rPr>
                <w:rFonts w:hint="eastAsia" w:ascii="Times New Roman" w:hAnsi="Times New Roman" w:eastAsia="宋体" w:cs="Times New Roman"/>
                <w:bCs/>
                <w:szCs w:val="21"/>
              </w:rPr>
              <w:t>临床医学</w:t>
            </w:r>
            <w:r>
              <w:rPr>
                <w:rFonts w:hint="eastAsia" w:ascii="Times New Roman" w:cs="Times New Roman"/>
                <w:bCs/>
                <w:szCs w:val="21"/>
                <w:lang w:val="en-US" w:eastAsia="zh-CN"/>
              </w:rPr>
              <w:t xml:space="preserve"> </w:t>
            </w:r>
            <w:r>
              <w:rPr>
                <w:rFonts w:hint="eastAsia" w:ascii="Times New Roman" w:hAnsi="Times New Roman" w:eastAsia="宋体" w:cs="Times New Roman"/>
                <w:bCs/>
                <w:szCs w:val="21"/>
              </w:rPr>
              <w:t>学士</w:t>
            </w:r>
          </w:p>
          <w:p w14:paraId="200F5751">
            <w:pPr>
              <w:pStyle w:val="21"/>
              <w:keepNext w:val="0"/>
              <w:keepLines w:val="0"/>
              <w:pageBreakBefore w:val="0"/>
              <w:widowControl w:val="0"/>
              <w:kinsoku/>
              <w:wordWrap/>
              <w:overflowPunct/>
              <w:topLinePunct w:val="0"/>
              <w:autoSpaceDE/>
              <w:autoSpaceDN/>
              <w:bidi w:val="0"/>
              <w:adjustRightInd/>
              <w:spacing w:line="240" w:lineRule="auto"/>
              <w:ind w:firstLine="0" w:firstLineChars="0"/>
              <w:jc w:val="left"/>
              <w:textAlignment w:val="auto"/>
              <w:rPr>
                <w:rFonts w:hint="eastAsia" w:ascii="Times New Roman" w:hAnsi="Times New Roman" w:eastAsia="宋体" w:cs="Times New Roman"/>
                <w:bCs/>
                <w:szCs w:val="21"/>
              </w:rPr>
            </w:pPr>
            <w:r>
              <w:rPr>
                <w:rFonts w:hint="eastAsia" w:ascii="Times New Roman" w:hAnsi="Times New Roman" w:eastAsia="宋体" w:cs="Times New Roman"/>
                <w:bCs/>
                <w:szCs w:val="21"/>
              </w:rPr>
              <w:t>1997年9月-2000年6月</w:t>
            </w:r>
            <w:r>
              <w:rPr>
                <w:rFonts w:hint="eastAsia" w:ascii="Times New Roman" w:cs="Times New Roman"/>
                <w:bCs/>
                <w:szCs w:val="21"/>
                <w:lang w:val="en-US" w:eastAsia="zh-CN"/>
              </w:rPr>
              <w:t xml:space="preserve"> </w:t>
            </w:r>
            <w:r>
              <w:rPr>
                <w:rFonts w:hint="eastAsia" w:ascii="Times New Roman" w:hAnsi="Times New Roman" w:eastAsia="宋体" w:cs="Times New Roman"/>
                <w:bCs/>
                <w:szCs w:val="21"/>
              </w:rPr>
              <w:t>安徽医科大学</w:t>
            </w:r>
            <w:r>
              <w:rPr>
                <w:rFonts w:hint="eastAsia" w:ascii="Times New Roman" w:hAnsi="Times New Roman" w:eastAsia="宋体" w:cs="Times New Roman"/>
                <w:bCs/>
                <w:szCs w:val="21"/>
                <w:lang w:val="en-US" w:eastAsia="zh-CN"/>
              </w:rPr>
              <w:t xml:space="preserve"> </w:t>
            </w:r>
            <w:r>
              <w:rPr>
                <w:rFonts w:hint="eastAsia" w:ascii="Times New Roman" w:cs="Times New Roman"/>
                <w:bCs/>
                <w:szCs w:val="21"/>
                <w:lang w:val="en-US" w:eastAsia="zh-CN"/>
              </w:rPr>
              <w:t>泌尿</w:t>
            </w:r>
            <w:r>
              <w:rPr>
                <w:rFonts w:hint="eastAsia" w:ascii="Times New Roman" w:hAnsi="Times New Roman" w:eastAsia="宋体" w:cs="Times New Roman"/>
                <w:bCs/>
                <w:szCs w:val="21"/>
              </w:rPr>
              <w:t>外科学</w:t>
            </w:r>
            <w:r>
              <w:rPr>
                <w:rFonts w:hint="eastAsia" w:ascii="Times New Roman" w:cs="Times New Roman"/>
                <w:bCs/>
                <w:szCs w:val="21"/>
                <w:lang w:val="en-US" w:eastAsia="zh-CN"/>
              </w:rPr>
              <w:t xml:space="preserve"> </w:t>
            </w:r>
            <w:r>
              <w:rPr>
                <w:rFonts w:hint="eastAsia" w:ascii="Times New Roman" w:hAnsi="Times New Roman" w:eastAsia="宋体" w:cs="Times New Roman"/>
                <w:bCs/>
                <w:szCs w:val="21"/>
              </w:rPr>
              <w:t>硕士</w:t>
            </w:r>
          </w:p>
          <w:p w14:paraId="2CD530AB">
            <w:pPr>
              <w:pStyle w:val="21"/>
              <w:keepNext w:val="0"/>
              <w:keepLines w:val="0"/>
              <w:pageBreakBefore w:val="0"/>
              <w:widowControl w:val="0"/>
              <w:kinsoku/>
              <w:wordWrap/>
              <w:overflowPunct/>
              <w:topLinePunct w:val="0"/>
              <w:autoSpaceDE/>
              <w:autoSpaceDN/>
              <w:bidi w:val="0"/>
              <w:adjustRightInd/>
              <w:spacing w:line="240" w:lineRule="auto"/>
              <w:ind w:firstLine="0" w:firstLineChars="0"/>
              <w:jc w:val="left"/>
              <w:textAlignment w:val="auto"/>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rPr>
              <w:t>2002年9月-2006年6月</w:t>
            </w:r>
            <w:r>
              <w:rPr>
                <w:rFonts w:hint="eastAsia" w:ascii="Times New Roman" w:cs="Times New Roman"/>
                <w:bCs/>
                <w:szCs w:val="21"/>
                <w:lang w:val="en-US" w:eastAsia="zh-CN"/>
              </w:rPr>
              <w:t xml:space="preserve"> </w:t>
            </w:r>
            <w:r>
              <w:rPr>
                <w:rFonts w:hint="eastAsia" w:ascii="Times New Roman" w:hAnsi="Times New Roman" w:eastAsia="宋体" w:cs="Times New Roman"/>
                <w:bCs/>
                <w:szCs w:val="21"/>
              </w:rPr>
              <w:t>安徽医科大学</w:t>
            </w:r>
            <w:r>
              <w:rPr>
                <w:rFonts w:hint="eastAsia" w:ascii="Times New Roman" w:hAnsi="Times New Roman" w:eastAsia="宋体" w:cs="Times New Roman"/>
                <w:bCs/>
                <w:szCs w:val="21"/>
                <w:lang w:val="en-US" w:eastAsia="zh-CN"/>
              </w:rPr>
              <w:t xml:space="preserve"> </w:t>
            </w:r>
            <w:r>
              <w:rPr>
                <w:rFonts w:hint="eastAsia" w:ascii="Times New Roman" w:hAnsi="Times New Roman" w:eastAsia="宋体" w:cs="Times New Roman"/>
                <w:bCs/>
                <w:szCs w:val="21"/>
              </w:rPr>
              <w:t>皮肤病与性病学</w:t>
            </w:r>
            <w:r>
              <w:rPr>
                <w:rFonts w:hint="eastAsia" w:ascii="Times New Roman" w:cs="Times New Roman"/>
                <w:bCs/>
                <w:szCs w:val="21"/>
                <w:lang w:val="en-US" w:eastAsia="zh-CN"/>
              </w:rPr>
              <w:t xml:space="preserve"> </w:t>
            </w:r>
            <w:r>
              <w:rPr>
                <w:rFonts w:hint="eastAsia" w:ascii="Times New Roman" w:hAnsi="Times New Roman" w:eastAsia="宋体" w:cs="Times New Roman"/>
                <w:bCs/>
                <w:szCs w:val="21"/>
              </w:rPr>
              <w:t>博士</w:t>
            </w:r>
          </w:p>
        </w:tc>
      </w:tr>
    </w:tbl>
    <w:p w14:paraId="7CDDE8D0">
      <w:pPr>
        <w:pStyle w:val="21"/>
        <w:keepNext w:val="0"/>
        <w:keepLines w:val="0"/>
        <w:pageBreakBefore w:val="0"/>
        <w:widowControl w:val="0"/>
        <w:kinsoku/>
        <w:wordWrap/>
        <w:overflowPunct/>
        <w:topLinePunct w:val="0"/>
        <w:autoSpaceDE/>
        <w:autoSpaceDN/>
        <w:bidi w:val="0"/>
        <w:adjustRightInd/>
        <w:spacing w:line="560" w:lineRule="exact"/>
        <w:ind w:firstLine="0" w:firstLineChars="0"/>
        <w:jc w:val="both"/>
        <w:textAlignment w:val="auto"/>
        <w:rPr>
          <w:rFonts w:hint="eastAsia" w:ascii="Times New Roman" w:hAnsi="Times New Roman" w:eastAsia="宋体" w:cs="Times New Roman"/>
          <w:bCs/>
          <w:szCs w:val="21"/>
          <w:lang w:val="en-US" w:eastAsia="zh-CN"/>
        </w:rPr>
      </w:pPr>
    </w:p>
    <w:p w14:paraId="676CD701">
      <w:pPr>
        <w:pStyle w:val="3"/>
        <w:rPr>
          <w:rStyle w:val="22"/>
          <w:rFonts w:hint="eastAsia" w:ascii="Times New Roman" w:hAnsi="Times New Roman" w:cs="Times New Roman"/>
          <w:b w:val="0"/>
          <w:bCs/>
          <w:sz w:val="28"/>
          <w:szCs w:val="18"/>
          <w:lang w:val="en-US"/>
        </w:rPr>
      </w:pPr>
      <w:bookmarkStart w:id="0" w:name="_Toc14535"/>
      <w:r>
        <w:rPr>
          <w:rStyle w:val="22"/>
          <w:rFonts w:hint="eastAsia" w:ascii="Times New Roman" w:hAnsi="Times New Roman" w:cs="Times New Roman"/>
          <w:b w:val="0"/>
          <w:bCs/>
          <w:sz w:val="28"/>
          <w:szCs w:val="18"/>
          <w:lang w:val="en-US"/>
        </w:rPr>
        <w:t>二、提名意见</w:t>
      </w:r>
      <w:bookmarkEnd w:id="0"/>
    </w:p>
    <w:tbl>
      <w:tblPr>
        <w:tblStyle w:val="10"/>
        <w:tblW w:w="9072"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386"/>
        <w:gridCol w:w="4482"/>
        <w:gridCol w:w="1092"/>
        <w:gridCol w:w="2112"/>
      </w:tblGrid>
      <w:tr w14:paraId="47AC0F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1386" w:type="dxa"/>
            <w:tcBorders>
              <w:top w:val="single" w:color="auto" w:sz="8" w:space="0"/>
            </w:tcBorders>
            <w:noWrap w:val="0"/>
            <w:vAlign w:val="center"/>
          </w:tcPr>
          <w:p w14:paraId="6C4611E4">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rPr>
            </w:pPr>
            <w:r>
              <w:rPr>
                <w:rFonts w:hint="default" w:ascii="Times New Roman" w:hAnsi="Times New Roman" w:eastAsia="宋体" w:cs="Times New Roman"/>
                <w:bCs/>
                <w:szCs w:val="21"/>
              </w:rPr>
              <w:t>提 名 者</w:t>
            </w:r>
          </w:p>
        </w:tc>
        <w:tc>
          <w:tcPr>
            <w:tcW w:w="7686" w:type="dxa"/>
            <w:gridSpan w:val="3"/>
            <w:tcBorders>
              <w:top w:val="single" w:color="auto" w:sz="8" w:space="0"/>
            </w:tcBorders>
            <w:noWrap w:val="0"/>
            <w:vAlign w:val="center"/>
          </w:tcPr>
          <w:p w14:paraId="216B23E8">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lang w:val="en-US" w:eastAsia="zh-CN"/>
              </w:rPr>
            </w:pPr>
            <w:r>
              <w:rPr>
                <w:rFonts w:hint="default" w:ascii="Times New Roman" w:hAnsi="Times New Roman" w:eastAsia="宋体" w:cs="Times New Roman"/>
                <w:bCs/>
                <w:szCs w:val="21"/>
                <w:lang w:val="en-US" w:eastAsia="zh-CN"/>
              </w:rPr>
              <w:t>安徽医科大学</w:t>
            </w:r>
          </w:p>
        </w:tc>
      </w:tr>
      <w:tr w14:paraId="4BDF81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1386" w:type="dxa"/>
            <w:noWrap w:val="0"/>
            <w:vAlign w:val="center"/>
          </w:tcPr>
          <w:p w14:paraId="77A1FFD9">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rPr>
            </w:pPr>
            <w:r>
              <w:rPr>
                <w:rFonts w:hint="default" w:ascii="Times New Roman" w:hAnsi="Times New Roman" w:eastAsia="宋体" w:cs="Times New Roman"/>
                <w:bCs/>
                <w:szCs w:val="21"/>
              </w:rPr>
              <w:t>通讯地址</w:t>
            </w:r>
          </w:p>
        </w:tc>
        <w:tc>
          <w:tcPr>
            <w:tcW w:w="4482" w:type="dxa"/>
            <w:noWrap w:val="0"/>
            <w:vAlign w:val="top"/>
          </w:tcPr>
          <w:p w14:paraId="4FA54963">
            <w:pPr>
              <w:pStyle w:val="23"/>
              <w:spacing w:before="100" w:line="218" w:lineRule="auto"/>
              <w:ind w:left="57" w:leftChars="0"/>
              <w:rPr>
                <w:rFonts w:hint="default" w:ascii="Times New Roman" w:hAnsi="Times New Roman" w:eastAsia="宋体" w:cs="Times New Roman"/>
                <w:bCs/>
                <w:szCs w:val="21"/>
              </w:rPr>
            </w:pPr>
            <w:r>
              <w:rPr>
                <w:rFonts w:hint="default" w:ascii="Times New Roman" w:hAnsi="Times New Roman" w:cs="Times New Roman"/>
                <w:spacing w:val="-1"/>
              </w:rPr>
              <w:t>安徽省合肥市梅山路81号</w:t>
            </w:r>
          </w:p>
        </w:tc>
        <w:tc>
          <w:tcPr>
            <w:tcW w:w="1092" w:type="dxa"/>
            <w:noWrap w:val="0"/>
            <w:vAlign w:val="center"/>
          </w:tcPr>
          <w:p w14:paraId="5F65EEDC">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rPr>
            </w:pPr>
            <w:r>
              <w:rPr>
                <w:rFonts w:hint="default" w:ascii="Times New Roman" w:hAnsi="Times New Roman" w:eastAsia="宋体" w:cs="Times New Roman"/>
                <w:bCs/>
                <w:szCs w:val="21"/>
              </w:rPr>
              <w:t>邮政编码</w:t>
            </w:r>
          </w:p>
        </w:tc>
        <w:tc>
          <w:tcPr>
            <w:tcW w:w="2112" w:type="dxa"/>
            <w:noWrap w:val="0"/>
            <w:vAlign w:val="top"/>
          </w:tcPr>
          <w:p w14:paraId="190790F6">
            <w:pPr>
              <w:pStyle w:val="23"/>
              <w:spacing w:before="100" w:line="239" w:lineRule="auto"/>
              <w:ind w:left="58" w:leftChars="0"/>
              <w:rPr>
                <w:rFonts w:hint="default" w:ascii="Times New Roman" w:hAnsi="Times New Roman" w:eastAsia="宋体" w:cs="Times New Roman"/>
                <w:bCs/>
                <w:szCs w:val="21"/>
              </w:rPr>
            </w:pPr>
            <w:r>
              <w:rPr>
                <w:rFonts w:hint="default" w:ascii="Times New Roman" w:hAnsi="Times New Roman" w:cs="Times New Roman"/>
                <w:spacing w:val="-2"/>
              </w:rPr>
              <w:t>230032</w:t>
            </w:r>
          </w:p>
        </w:tc>
      </w:tr>
      <w:tr w14:paraId="192C0B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1386" w:type="dxa"/>
            <w:noWrap w:val="0"/>
            <w:vAlign w:val="center"/>
          </w:tcPr>
          <w:p w14:paraId="6B745B02">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rPr>
            </w:pPr>
            <w:r>
              <w:rPr>
                <w:rFonts w:hint="default" w:ascii="Times New Roman" w:hAnsi="Times New Roman" w:eastAsia="宋体" w:cs="Times New Roman"/>
                <w:bCs/>
                <w:szCs w:val="21"/>
              </w:rPr>
              <w:t>联 系 人</w:t>
            </w:r>
          </w:p>
        </w:tc>
        <w:tc>
          <w:tcPr>
            <w:tcW w:w="4482" w:type="dxa"/>
            <w:noWrap w:val="0"/>
            <w:vAlign w:val="top"/>
          </w:tcPr>
          <w:p w14:paraId="5F512073">
            <w:pPr>
              <w:pStyle w:val="23"/>
              <w:spacing w:before="101" w:line="218" w:lineRule="auto"/>
              <w:ind w:left="57" w:leftChars="0"/>
              <w:rPr>
                <w:rFonts w:hint="default" w:ascii="Times New Roman" w:hAnsi="Times New Roman" w:eastAsia="宋体" w:cs="Times New Roman"/>
                <w:bCs/>
                <w:szCs w:val="21"/>
              </w:rPr>
            </w:pPr>
            <w:r>
              <w:rPr>
                <w:rFonts w:hint="default" w:ascii="Times New Roman" w:hAnsi="Times New Roman" w:cs="Times New Roman"/>
                <w:spacing w:val="-2"/>
              </w:rPr>
              <w:t>安徽医科大学</w:t>
            </w:r>
          </w:p>
        </w:tc>
        <w:tc>
          <w:tcPr>
            <w:tcW w:w="1092" w:type="dxa"/>
            <w:noWrap w:val="0"/>
            <w:vAlign w:val="center"/>
          </w:tcPr>
          <w:p w14:paraId="245AC75C">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rPr>
            </w:pPr>
            <w:r>
              <w:rPr>
                <w:rFonts w:hint="default" w:ascii="Times New Roman" w:hAnsi="Times New Roman" w:eastAsia="宋体" w:cs="Times New Roman"/>
                <w:bCs/>
                <w:szCs w:val="21"/>
              </w:rPr>
              <w:t>联系电话</w:t>
            </w:r>
          </w:p>
        </w:tc>
        <w:tc>
          <w:tcPr>
            <w:tcW w:w="2112" w:type="dxa"/>
            <w:noWrap w:val="0"/>
            <w:vAlign w:val="top"/>
          </w:tcPr>
          <w:p w14:paraId="61080A51">
            <w:pPr>
              <w:pStyle w:val="23"/>
              <w:spacing w:before="101" w:line="239" w:lineRule="auto"/>
              <w:ind w:left="71" w:leftChars="0"/>
              <w:rPr>
                <w:rFonts w:hint="default" w:ascii="Times New Roman" w:hAnsi="Times New Roman" w:eastAsia="宋体" w:cs="Times New Roman"/>
                <w:bCs/>
                <w:szCs w:val="21"/>
              </w:rPr>
            </w:pPr>
            <w:r>
              <w:rPr>
                <w:rFonts w:hint="default" w:ascii="Times New Roman" w:hAnsi="Times New Roman" w:cs="Times New Roman"/>
                <w:spacing w:val="-2"/>
              </w:rPr>
              <w:t>13637085856</w:t>
            </w:r>
          </w:p>
        </w:tc>
      </w:tr>
      <w:tr w14:paraId="424164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54" w:hRule="exact"/>
          <w:jc w:val="center"/>
        </w:trPr>
        <w:tc>
          <w:tcPr>
            <w:tcW w:w="1386" w:type="dxa"/>
            <w:noWrap w:val="0"/>
            <w:vAlign w:val="center"/>
          </w:tcPr>
          <w:p w14:paraId="32E9247D">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rPr>
            </w:pPr>
            <w:r>
              <w:rPr>
                <w:rFonts w:hint="default" w:ascii="Times New Roman" w:hAnsi="Times New Roman" w:eastAsia="宋体" w:cs="Times New Roman"/>
                <w:bCs/>
                <w:szCs w:val="21"/>
              </w:rPr>
              <w:t>电子邮箱</w:t>
            </w:r>
          </w:p>
        </w:tc>
        <w:tc>
          <w:tcPr>
            <w:tcW w:w="4482" w:type="dxa"/>
            <w:noWrap w:val="0"/>
            <w:vAlign w:val="top"/>
          </w:tcPr>
          <w:p w14:paraId="5AB57B13">
            <w:pPr>
              <w:pStyle w:val="23"/>
              <w:spacing w:before="101" w:line="213" w:lineRule="auto"/>
              <w:ind w:left="57" w:leftChars="0"/>
              <w:rPr>
                <w:rFonts w:hint="default" w:ascii="Times New Roman" w:hAnsi="Times New Roman" w:eastAsia="宋体" w:cs="Times New Roman"/>
                <w:bCs/>
                <w:szCs w:val="21"/>
              </w:rPr>
            </w:pPr>
            <w:r>
              <w:rPr>
                <w:rFonts w:hint="default" w:ascii="Times New Roman" w:hAnsi="Times New Roman" w:cs="Times New Roman"/>
                <w:spacing w:val="-1"/>
              </w:rPr>
              <w:t>chengfan@ahmu.edu.cn</w:t>
            </w:r>
          </w:p>
        </w:tc>
        <w:tc>
          <w:tcPr>
            <w:tcW w:w="1092" w:type="dxa"/>
            <w:noWrap w:val="0"/>
            <w:vAlign w:val="center"/>
          </w:tcPr>
          <w:p w14:paraId="1BCB9C58">
            <w:pPr>
              <w:pStyle w:val="21"/>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Cs/>
                <w:szCs w:val="21"/>
              </w:rPr>
            </w:pPr>
            <w:r>
              <w:rPr>
                <w:rFonts w:hint="default" w:ascii="Times New Roman" w:hAnsi="Times New Roman" w:eastAsia="宋体" w:cs="Times New Roman"/>
                <w:bCs/>
                <w:szCs w:val="21"/>
              </w:rPr>
              <w:t>传    真</w:t>
            </w:r>
          </w:p>
        </w:tc>
        <w:tc>
          <w:tcPr>
            <w:tcW w:w="2112" w:type="dxa"/>
            <w:noWrap w:val="0"/>
            <w:vAlign w:val="top"/>
          </w:tcPr>
          <w:p w14:paraId="6BDD0E77">
            <w:pPr>
              <w:pStyle w:val="23"/>
              <w:spacing w:before="101" w:line="239" w:lineRule="auto"/>
              <w:ind w:left="57" w:leftChars="0"/>
              <w:rPr>
                <w:rFonts w:hint="default" w:ascii="Times New Roman" w:hAnsi="Times New Roman" w:eastAsia="宋体" w:cs="Times New Roman"/>
                <w:bCs/>
                <w:szCs w:val="21"/>
              </w:rPr>
            </w:pPr>
            <w:r>
              <w:rPr>
                <w:rFonts w:hint="default" w:ascii="Times New Roman" w:hAnsi="Times New Roman" w:cs="Times New Roman"/>
                <w:spacing w:val="-1"/>
              </w:rPr>
              <w:t>0551-65161057</w:t>
            </w:r>
          </w:p>
        </w:tc>
      </w:tr>
      <w:tr w14:paraId="610BB2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90" w:hRule="atLeast"/>
          <w:jc w:val="center"/>
        </w:trPr>
        <w:tc>
          <w:tcPr>
            <w:tcW w:w="9072" w:type="dxa"/>
            <w:gridSpan w:val="4"/>
            <w:tcBorders>
              <w:bottom w:val="nil"/>
            </w:tcBorders>
            <w:noWrap w:val="0"/>
            <w:vAlign w:val="center"/>
          </w:tcPr>
          <w:p w14:paraId="120BB7A9">
            <w:pPr>
              <w:pStyle w:val="21"/>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bCs/>
                <w:szCs w:val="21"/>
              </w:rPr>
            </w:pPr>
            <w:r>
              <w:rPr>
                <w:rFonts w:hint="default" w:ascii="Times New Roman" w:hAnsi="Times New Roman" w:eastAsia="宋体" w:cs="Times New Roman"/>
                <w:bCs/>
                <w:szCs w:val="21"/>
              </w:rPr>
              <w:t>提名意见：</w:t>
            </w:r>
          </w:p>
        </w:tc>
      </w:tr>
      <w:tr w14:paraId="69DDBF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9072" w:type="dxa"/>
            <w:gridSpan w:val="4"/>
            <w:tcBorders>
              <w:top w:val="nil"/>
            </w:tcBorders>
            <w:noWrap w:val="0"/>
            <w:vAlign w:val="center"/>
          </w:tcPr>
          <w:p w14:paraId="6714674E">
            <w:pPr>
              <w:spacing w:line="240" w:lineRule="auto"/>
              <w:ind w:firstLine="420" w:firstLineChars="200"/>
              <w:jc w:val="both"/>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梁朝朝教授是泌尿男科疾病研究与医学转化安徽省重点实验室主任、主任医师、博士研究生导师，国家首届“国家杰出医师”，国家“新世纪百千万人才工程”</w:t>
            </w:r>
            <w:r>
              <w:rPr>
                <w:rFonts w:hint="eastAsia" w:ascii="Times New Roman" w:hAnsi="Times New Roman" w:eastAsia="宋体" w:cs="Times New Roman"/>
                <w:bCs/>
                <w:sz w:val="21"/>
                <w:szCs w:val="21"/>
                <w:lang w:val="en-US" w:eastAsia="zh-CN"/>
              </w:rPr>
              <w:t>国家级人选</w:t>
            </w:r>
            <w:r>
              <w:rPr>
                <w:rFonts w:hint="default" w:ascii="Times New Roman" w:hAnsi="Times New Roman" w:eastAsia="宋体" w:cs="Times New Roman"/>
                <w:bCs/>
                <w:sz w:val="21"/>
                <w:szCs w:val="21"/>
              </w:rPr>
              <w:t>，曾获“吴阶平泌尿外科医学奖”“全国优秀科技工作者”“亚洲男科杰出贡献奖”“国之名医·卓越建树”等荣誉称号。兼任亚洲男科学协会副主席、中国医师协会男科与性医学医师分会会长、安徽省医师协会会长等。</w:t>
            </w:r>
          </w:p>
          <w:p w14:paraId="0D63AC29">
            <w:pPr>
              <w:spacing w:line="240" w:lineRule="auto"/>
              <w:ind w:firstLine="422" w:firstLineChars="200"/>
              <w:jc w:val="both"/>
              <w:rPr>
                <w:rFonts w:hint="default" w:ascii="Times New Roman" w:hAnsi="Times New Roman" w:eastAsia="宋体" w:cs="Times New Roman"/>
                <w:bCs/>
                <w:sz w:val="21"/>
                <w:szCs w:val="21"/>
              </w:rPr>
            </w:pPr>
            <w:r>
              <w:rPr>
                <w:rFonts w:hint="default" w:ascii="Times New Roman" w:hAnsi="Times New Roman" w:eastAsia="宋体" w:cs="Times New Roman"/>
                <w:b/>
                <w:bCs w:val="0"/>
                <w:sz w:val="21"/>
                <w:szCs w:val="21"/>
              </w:rPr>
              <w:t>在前列腺疾病的研究方面，</w:t>
            </w:r>
            <w:r>
              <w:rPr>
                <w:rFonts w:hint="default" w:ascii="Times New Roman" w:hAnsi="Times New Roman" w:eastAsia="宋体" w:cs="Times New Roman"/>
                <w:bCs/>
                <w:sz w:val="21"/>
                <w:szCs w:val="21"/>
              </w:rPr>
              <w:t>围绕前列腺炎、前列腺增生、前列腺癌三大高发疾病，系统开展基础与临床转化研究：针对慢性前列腺炎发病率高、治愈率低、发病机制不清等难题，深耕慢性前列腺炎研究三十余年，开展流行病、发病机制和临床转化研究，牵头组建全国协作组，制定以症状为核心的新的诊断标准和疗效评判标准并在全国百余家医院推广应用，编著指南并改写我国最新版本科生教材；原创实施多项超大体积前列腺增生微创术式，推动“日间微创”治疗新模式；建立前列腺癌多组学分型体系，系统揭示CRPC关键通路与耐药机制，构建靶向与免疫联合干预策略，相关成果发表于《Cancer Cell》等国际顶刊，并获得多项国家发明专利授权。</w:t>
            </w:r>
            <w:r>
              <w:rPr>
                <w:rFonts w:hint="default" w:ascii="Times New Roman" w:hAnsi="Times New Roman" w:eastAsia="宋体" w:cs="Times New Roman"/>
                <w:b/>
                <w:bCs w:val="0"/>
                <w:sz w:val="21"/>
                <w:szCs w:val="21"/>
              </w:rPr>
              <w:t>在“医企协同”联合创新方面，</w:t>
            </w:r>
            <w:r>
              <w:rPr>
                <w:rFonts w:hint="default" w:ascii="Times New Roman" w:hAnsi="Times New Roman" w:eastAsia="宋体" w:cs="Times New Roman"/>
                <w:bCs/>
                <w:sz w:val="21"/>
                <w:szCs w:val="21"/>
              </w:rPr>
              <w:t>候选人牵头多家高校及企业研发出全球首套医疗级无线智能腔镜系统，突破“线缆束缚、平台依赖、智能缺位”三大难题，构建“无束缚—无边界—泛智联”智能手术新范式。产品获中国首个无线腔镜注册证及全球首个CE认证，入选“世界制造业大会十佳创新产品”，授权发明专利40项、软件著作权53项，制定临床指南1部。设备已在国内190余家医院和海外16家机构广泛应用，完成手术超1.4万例，培训医生近4.8万人，销售额达3.7亿元，有力推动微创外科装备国产化和智能化发展，该项目获2021年安徽省科技进步一等奖。</w:t>
            </w:r>
            <w:r>
              <w:rPr>
                <w:rFonts w:hint="default" w:ascii="Times New Roman" w:hAnsi="Times New Roman" w:eastAsia="宋体" w:cs="Times New Roman"/>
                <w:b/>
                <w:bCs w:val="0"/>
                <w:sz w:val="21"/>
                <w:szCs w:val="21"/>
              </w:rPr>
              <w:t>在手术技术创新与推广应用方面，</w:t>
            </w:r>
            <w:r>
              <w:rPr>
                <w:rFonts w:hint="default" w:ascii="Times New Roman" w:hAnsi="Times New Roman" w:eastAsia="宋体" w:cs="Times New Roman"/>
                <w:bCs/>
                <w:sz w:val="21"/>
                <w:szCs w:val="21"/>
              </w:rPr>
              <w:t>提出并实施十余项原创术式，特别是在机器人手术技术创新方面取得重大突破，包括国际首创腰腹联合入路肾脏肿瘤手术、前列腺癌根治手术技术创新、远程机器人手术和单孔机器人手术。在2014年9月在国内较早、安徽率先开展机器人手术，目前已完成5000余例，包括前列腺癌、肾脏肿瘤、膀胱肿瘤等高难度、复杂手术；创新肾脏肿瘤的腰腹联合入路手术，该手术视频挂在美国Journal of Endourology and Videourology网站，供全球同行学习应用；创新前列腺癌根治手术技巧，使病人术后尿控水平大幅度提升；牵头联合北京301医院、浙江大学附属第一医院、哈尔滨医科大学肿瘤医院等开展了国产远程机器人手术注册临床研究，取得了很好的效果，为实现医疗资源下沉提供了技术保障；在我国率先开展国产单孔机器人手术，全国会议期间，在上海等顶级医院手术演示，示范单孔前列腺癌手术技巧，推进前列腺癌手术精准化、微创化和智能化发展，并牵头撰写和出版国产单孔机器人前列腺癌手术共识1部。</w:t>
            </w:r>
          </w:p>
          <w:p w14:paraId="20BDA277">
            <w:pPr>
              <w:spacing w:line="240" w:lineRule="auto"/>
              <w:ind w:firstLine="420" w:firstLineChars="200"/>
              <w:jc w:val="both"/>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作为项目负责人，梁教授主持国家级项目</w:t>
            </w:r>
            <w:r>
              <w:rPr>
                <w:rFonts w:hint="default" w:ascii="Times New Roman" w:hAnsi="Times New Roman" w:eastAsia="宋体" w:cs="Times New Roman"/>
                <w:bCs/>
                <w:sz w:val="21"/>
                <w:szCs w:val="21"/>
                <w:lang w:val="en-US" w:eastAsia="zh-CN"/>
              </w:rPr>
              <w:t>9</w:t>
            </w:r>
            <w:r>
              <w:rPr>
                <w:rFonts w:hint="default" w:ascii="Times New Roman" w:hAnsi="Times New Roman" w:eastAsia="宋体" w:cs="Times New Roman"/>
                <w:bCs/>
                <w:sz w:val="21"/>
                <w:szCs w:val="21"/>
              </w:rPr>
              <w:t>项</w:t>
            </w:r>
            <w:r>
              <w:rPr>
                <w:rFonts w:hint="default" w:ascii="Times New Roman" w:hAnsi="Times New Roman" w:eastAsia="宋体" w:cs="Times New Roman"/>
                <w:bCs/>
                <w:sz w:val="21"/>
                <w:szCs w:val="21"/>
                <w:lang w:eastAsia="zh-CN"/>
              </w:rPr>
              <w:t>（</w:t>
            </w:r>
            <w:r>
              <w:rPr>
                <w:rFonts w:hint="default" w:ascii="Times New Roman" w:hAnsi="Times New Roman" w:eastAsia="宋体" w:cs="Times New Roman"/>
                <w:bCs/>
                <w:sz w:val="21"/>
                <w:szCs w:val="21"/>
                <w:lang w:val="en-US" w:eastAsia="zh-CN"/>
              </w:rPr>
              <w:t>重点项目1项</w:t>
            </w:r>
            <w:r>
              <w:rPr>
                <w:rFonts w:hint="default" w:ascii="Times New Roman" w:hAnsi="Times New Roman" w:eastAsia="宋体" w:cs="Times New Roman"/>
                <w:bCs/>
                <w:sz w:val="21"/>
                <w:szCs w:val="21"/>
                <w:lang w:eastAsia="zh-CN"/>
              </w:rPr>
              <w:t>）</w:t>
            </w:r>
            <w:r>
              <w:rPr>
                <w:rFonts w:hint="default" w:ascii="Times New Roman" w:hAnsi="Times New Roman" w:eastAsia="宋体" w:cs="Times New Roman"/>
                <w:bCs/>
                <w:sz w:val="21"/>
                <w:szCs w:val="21"/>
              </w:rPr>
              <w:t>，获省部级科技进步一等奖4项，二等奖4项，发表SCI论文272篇，出版专著10余部，主编/副主编多部教材和指南，在国内外大会进行手术演示和学术报告300余次，培养博士后、博士、硕士150余人，为我国泌尿外科领域高质量发展作出突出贡献。</w:t>
            </w:r>
          </w:p>
          <w:p w14:paraId="11253261">
            <w:pPr>
              <w:spacing w:line="240" w:lineRule="auto"/>
              <w:ind w:firstLine="422" w:firstLineChars="200"/>
              <w:jc w:val="both"/>
              <w:rPr>
                <w:rFonts w:hint="default" w:ascii="Times New Roman" w:hAnsi="Times New Roman" w:eastAsia="宋体" w:cs="Times New Roman"/>
                <w:bCs/>
                <w:szCs w:val="21"/>
              </w:rPr>
            </w:pPr>
            <w:r>
              <w:rPr>
                <w:rFonts w:hint="default" w:ascii="Times New Roman" w:hAnsi="Times New Roman" w:eastAsia="宋体" w:cs="Times New Roman"/>
                <w:b/>
                <w:bCs w:val="0"/>
                <w:sz w:val="21"/>
                <w:szCs w:val="21"/>
              </w:rPr>
              <w:t>该提名材料真实有效，符合填报规范，经公示无异议，同意提名推荐2024年度安徽省重大科技成就奖。</w:t>
            </w:r>
          </w:p>
        </w:tc>
      </w:tr>
      <w:tr w14:paraId="261BAF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9072" w:type="dxa"/>
            <w:gridSpan w:val="4"/>
            <w:tcBorders>
              <w:top w:val="single" w:color="auto" w:sz="4" w:space="0"/>
              <w:left w:val="single" w:color="auto" w:sz="8" w:space="0"/>
              <w:bottom w:val="single" w:color="auto" w:sz="8" w:space="0"/>
            </w:tcBorders>
            <w:noWrap w:val="0"/>
            <w:vAlign w:val="center"/>
          </w:tcPr>
          <w:p w14:paraId="393A1386">
            <w:pPr>
              <w:ind w:firstLine="411" w:firstLineChars="196"/>
              <w:jc w:val="left"/>
              <w:rPr>
                <w:rFonts w:hint="default" w:ascii="Times New Roman" w:hAnsi="Times New Roman" w:eastAsia="宋体" w:cs="Times New Roman"/>
                <w:bCs/>
                <w:szCs w:val="21"/>
              </w:rPr>
            </w:pPr>
            <w:r>
              <w:rPr>
                <w:rFonts w:hint="default" w:ascii="Times New Roman" w:hAnsi="Times New Roman" w:eastAsia="宋体" w:cs="Times New Roman"/>
                <w:bCs/>
                <w:szCs w:val="21"/>
              </w:rPr>
              <w:t>声明：本单位遵守《安徽省科学技术奖励办法》及其实施细则的有关规定和安徽省科学技术奖励工作办公室对提名工作的具体要求，承诺遵守评审工作纪律，所提供的提名材料真实有效，且不存在任何违反《中华人民共和国保守国家秘密法》和《科学技术保密规定》等相关法律法规及侵犯他人知识产权的情形。如产生争议，将积极调查处理。如有材料虚假或违纪行为，愿意承担相应责任并按规定接受处理。</w:t>
            </w:r>
          </w:p>
          <w:p w14:paraId="214F1AC5">
            <w:pPr>
              <w:pStyle w:val="9"/>
              <w:spacing w:line="560" w:lineRule="exact"/>
              <w:ind w:firstLine="420" w:firstLineChars="200"/>
              <w:jc w:val="left"/>
              <w:rPr>
                <w:rFonts w:hint="default" w:ascii="Times New Roman" w:hAnsi="Times New Roman" w:eastAsia="宋体" w:cs="Times New Roman"/>
                <w:bCs/>
                <w:color w:val="000000"/>
                <w:szCs w:val="21"/>
              </w:rPr>
            </w:pPr>
            <w:r>
              <w:rPr>
                <w:rFonts w:hint="default" w:ascii="Times New Roman" w:hAnsi="Times New Roman" w:eastAsia="宋体" w:cs="Times New Roman"/>
                <w:bCs/>
                <w:color w:val="000000"/>
                <w:szCs w:val="21"/>
              </w:rPr>
              <w:t xml:space="preserve">法人代表签名：                                      提名单位（盖章）     </w:t>
            </w:r>
          </w:p>
          <w:p w14:paraId="688E7C85">
            <w:pPr>
              <w:spacing w:line="560" w:lineRule="exact"/>
              <w:jc w:val="left"/>
              <w:rPr>
                <w:rFonts w:hint="default" w:ascii="Times New Roman" w:hAnsi="Times New Roman" w:eastAsia="宋体" w:cs="Times New Roman"/>
                <w:bCs/>
                <w:szCs w:val="21"/>
              </w:rPr>
            </w:pPr>
            <w:r>
              <w:rPr>
                <w:rFonts w:hint="default" w:ascii="Times New Roman" w:hAnsi="Times New Roman" w:eastAsia="宋体" w:cs="Times New Roman"/>
                <w:bCs/>
                <w:color w:val="000000"/>
                <w:szCs w:val="21"/>
              </w:rPr>
              <w:t xml:space="preserve">  年    月    日    </w:t>
            </w:r>
            <w:r>
              <w:rPr>
                <w:rFonts w:hint="default" w:ascii="Times New Roman" w:hAnsi="Times New Roman" w:eastAsia="宋体" w:cs="Times New Roman"/>
                <w:bCs/>
                <w:szCs w:val="21"/>
              </w:rPr>
              <w:t xml:space="preserve">                             年    月    日</w:t>
            </w:r>
          </w:p>
          <w:p w14:paraId="2291EF82">
            <w:pPr>
              <w:spacing w:line="560" w:lineRule="exact"/>
              <w:ind w:firstLine="420" w:firstLineChars="200"/>
              <w:jc w:val="left"/>
              <w:rPr>
                <w:rFonts w:hint="default" w:ascii="Times New Roman" w:hAnsi="Times New Roman" w:eastAsia="宋体" w:cs="Times New Roman"/>
                <w:bCs/>
                <w:szCs w:val="21"/>
              </w:rPr>
            </w:pPr>
          </w:p>
        </w:tc>
      </w:tr>
    </w:tbl>
    <w:p w14:paraId="77D1ECE0">
      <w:pPr>
        <w:rPr>
          <w:rFonts w:hint="eastAsia"/>
          <w:lang w:val="en-US" w:eastAsia="zh-CN"/>
        </w:rPr>
      </w:pPr>
    </w:p>
    <w:p w14:paraId="5E88F518">
      <w:pPr>
        <w:rPr>
          <w:rStyle w:val="22"/>
          <w:rFonts w:hint="eastAsia" w:ascii="Times New Roman" w:hAnsi="Times New Roman" w:cs="Times New Roman"/>
          <w:b w:val="0"/>
          <w:bCs/>
          <w:sz w:val="28"/>
          <w:szCs w:val="18"/>
          <w:lang w:val="en-US" w:eastAsia="zh-CN"/>
        </w:rPr>
      </w:pPr>
      <w:r>
        <w:rPr>
          <w:rStyle w:val="22"/>
          <w:rFonts w:hint="eastAsia" w:ascii="Times New Roman" w:hAnsi="Times New Roman" w:cs="Times New Roman"/>
          <w:b w:val="0"/>
          <w:bCs/>
          <w:sz w:val="28"/>
          <w:szCs w:val="18"/>
          <w:lang w:val="en-US" w:eastAsia="zh-CN"/>
        </w:rPr>
        <w:br w:type="page"/>
      </w:r>
    </w:p>
    <w:p w14:paraId="2DDBBC9D">
      <w:pPr>
        <w:pStyle w:val="3"/>
        <w:rPr>
          <w:rStyle w:val="22"/>
          <w:rFonts w:hint="eastAsia" w:ascii="Times New Roman" w:hAnsi="Times New Roman" w:cs="Times New Roman"/>
          <w:b w:val="0"/>
          <w:bCs/>
          <w:sz w:val="28"/>
          <w:szCs w:val="18"/>
          <w:lang w:val="en-US" w:eastAsia="zh-CN"/>
        </w:rPr>
      </w:pPr>
      <w:r>
        <w:rPr>
          <w:rStyle w:val="22"/>
          <w:rFonts w:hint="eastAsia" w:ascii="Times New Roman" w:hAnsi="Times New Roman" w:cs="Times New Roman"/>
          <w:b w:val="0"/>
          <w:bCs/>
          <w:sz w:val="28"/>
          <w:szCs w:val="18"/>
          <w:lang w:val="en-US" w:eastAsia="zh-CN"/>
        </w:rPr>
        <w:t>三、候选人的主要科学技术成就和贡献。</w:t>
      </w:r>
    </w:p>
    <w:p w14:paraId="59B15821">
      <w:pPr>
        <w:numPr>
          <w:ilvl w:val="0"/>
          <w:numId w:val="0"/>
        </w:numPr>
        <w:spacing w:line="360" w:lineRule="auto"/>
        <w:ind w:firstLine="480" w:firstLineChars="200"/>
        <w:jc w:val="both"/>
        <w:rPr>
          <w:rFonts w:hint="default" w:ascii="Times New Roman" w:hAnsi="Times New Roman" w:cs="Times New Roman" w:eastAsiaTheme="majorEastAsia"/>
          <w:sz w:val="24"/>
          <w:szCs w:val="24"/>
          <w:lang w:val="en-US" w:eastAsia="zh-CN"/>
        </w:rPr>
      </w:pPr>
      <w:r>
        <w:rPr>
          <w:rFonts w:hint="default" w:ascii="Times New Roman" w:hAnsi="Times New Roman" w:cs="Times New Roman" w:eastAsiaTheme="majorEastAsia"/>
          <w:color w:val="auto"/>
          <w:sz w:val="24"/>
          <w:szCs w:val="24"/>
          <w:lang w:val="en-US" w:eastAsia="zh-CN"/>
        </w:rPr>
        <w:t>候选人长期致力于男性泌尿系统常见病与重大疾病防治，围绕前列腺炎、前列腺增生与前列腺癌等高发疾病，系统开展从发病机制、诊疗技术到微创术式的全链条研究，取得多项原创性、引领性和转化性成果。在前列腺</w:t>
      </w:r>
      <w:r>
        <w:rPr>
          <w:rFonts w:hint="eastAsia" w:ascii="Times New Roman" w:hAnsi="Times New Roman" w:cs="Times New Roman" w:eastAsiaTheme="majorEastAsia"/>
          <w:color w:val="auto"/>
          <w:sz w:val="24"/>
          <w:szCs w:val="24"/>
          <w:lang w:val="en-US" w:eastAsia="zh-CN"/>
        </w:rPr>
        <w:t>炎</w:t>
      </w:r>
      <w:r>
        <w:rPr>
          <w:rFonts w:hint="default" w:ascii="Times New Roman" w:hAnsi="Times New Roman" w:cs="Times New Roman" w:eastAsiaTheme="majorEastAsia"/>
          <w:color w:val="auto"/>
          <w:sz w:val="24"/>
          <w:szCs w:val="24"/>
          <w:lang w:val="en-US" w:eastAsia="zh-CN"/>
        </w:rPr>
        <w:t>研究方面，候选人首次明确我国前列腺炎患病率为8.4%，提出非感染性及免疫紊乱致病的机制，构建“以症状为核心”的诊疗标准，写入国家本科</w:t>
      </w:r>
      <w:r>
        <w:rPr>
          <w:rFonts w:hint="eastAsia" w:ascii="Times New Roman" w:hAnsi="Times New Roman" w:cs="Times New Roman" w:eastAsiaTheme="majorEastAsia"/>
          <w:color w:val="auto"/>
          <w:sz w:val="24"/>
          <w:szCs w:val="24"/>
          <w:lang w:val="en-US" w:eastAsia="zh-CN"/>
        </w:rPr>
        <w:t>生</w:t>
      </w:r>
      <w:r>
        <w:rPr>
          <w:rFonts w:hint="default" w:ascii="Times New Roman" w:hAnsi="Times New Roman" w:cs="Times New Roman" w:eastAsiaTheme="majorEastAsia"/>
          <w:color w:val="auto"/>
          <w:sz w:val="24"/>
          <w:szCs w:val="24"/>
          <w:lang w:val="en-US" w:eastAsia="zh-CN"/>
        </w:rPr>
        <w:t>教材。在前列腺增生治疗中，原创实施10余项国际首创手术技术和专利器械，完成全球最大体积前列腺剜除术，推动微创治疗进入“日间手术”新阶段。在前列腺癌领域，建立多组学分型体系，系统解析CRPC耐药与进展机制，构建联合干预策略，成果发表于《Cancer Cell》《Molecular Cancer》等国际顶刊。在智能装备研发方面，候选人牵头研发全球首套医疗级无线智能腔镜系统，突破“线缆束缚、平台依赖、智能缺位”三大难题，构建“无束缚—无边界—泛智联”智能微创手术体系。设备已在全国190余家医院广泛应用。在术式创新方面，提出并推广腰腹联合入路肾肿瘤切除术、去顶减压联合大网膜包裹术治疗多囊肾，构建前列腺穿刺标准体系，率先完成省内首例5G远程机器人和单臂单孔机器人辅助前列腺根治术，显著提升复杂泌尿外科手术的精准化、微创化水平。主要科学技术方面业绩如下：</w:t>
      </w:r>
    </w:p>
    <w:p w14:paraId="36125B79">
      <w:pPr>
        <w:numPr>
          <w:ilvl w:val="0"/>
          <w:numId w:val="0"/>
        </w:numPr>
        <w:spacing w:line="360" w:lineRule="auto"/>
        <w:ind w:firstLine="482" w:firstLineChars="200"/>
        <w:jc w:val="both"/>
        <w:rPr>
          <w:rFonts w:hint="default" w:ascii="Times New Roman" w:hAnsi="Times New Roman" w:cs="Times New Roman" w:eastAsiaTheme="majorEastAsia"/>
          <w:b/>
          <w:bCs/>
          <w:color w:val="auto"/>
          <w:sz w:val="24"/>
          <w:szCs w:val="24"/>
          <w:lang w:val="en-US" w:eastAsia="zh-CN"/>
        </w:rPr>
      </w:pPr>
      <w:r>
        <w:rPr>
          <w:rFonts w:hint="default" w:ascii="Times New Roman" w:hAnsi="Times New Roman" w:cs="Times New Roman" w:eastAsiaTheme="majorEastAsia"/>
          <w:b/>
          <w:bCs/>
          <w:color w:val="auto"/>
          <w:sz w:val="24"/>
          <w:szCs w:val="24"/>
          <w:lang w:val="en-US" w:eastAsia="zh-CN"/>
        </w:rPr>
        <w:t>1、围绕前列腺炎、前列腺增生和前列腺癌三个男性高发疾病，系统开展基础研究与临床转化。</w:t>
      </w:r>
    </w:p>
    <w:p w14:paraId="0C0E4966">
      <w:pPr>
        <w:spacing w:line="360" w:lineRule="auto"/>
        <w:jc w:val="both"/>
        <w:rPr>
          <w:rFonts w:hint="default" w:ascii="Times New Roman" w:hAnsi="Times New Roman" w:cs="Times New Roman" w:eastAsiaTheme="majorEastAsia"/>
          <w:color w:val="auto"/>
          <w:sz w:val="24"/>
          <w:szCs w:val="24"/>
          <w:lang w:eastAsia="zh-CN"/>
        </w:rPr>
      </w:pPr>
      <w:r>
        <w:rPr>
          <w:rFonts w:hint="default" w:ascii="Times New Roman" w:hAnsi="Times New Roman" w:cs="Times New Roman" w:eastAsiaTheme="majorEastAsia"/>
          <w:color w:val="auto"/>
          <w:sz w:val="24"/>
          <w:szCs w:val="24"/>
          <w:lang w:eastAsia="zh-CN"/>
        </w:rPr>
        <w:t>（1）系统阐明我国前列腺炎患病特征，首次明确患病率为8.4%，提出非病原微生物致病新观点，重建前列腺导管三维结构并揭示离子通道与免疫紊乱在发病中的关键机制；创新制定以症状为核心的诊疗标准，牵头组建全国协作组并在多家三甲医院推广，成果写入最新版《外科学》教材；同时，联合企业研发低能量体外冲击波治疗仪，构建门诊化物理干预新路径，获国家发明专利，推动前列腺炎诊疗迈向标准化、个体化和精准化。</w:t>
      </w:r>
    </w:p>
    <w:p w14:paraId="6AA653A2">
      <w:pPr>
        <w:spacing w:line="360" w:lineRule="auto"/>
        <w:jc w:val="both"/>
        <w:rPr>
          <w:rFonts w:hint="default" w:ascii="Times New Roman" w:hAnsi="Times New Roman" w:cs="Times New Roman" w:eastAsiaTheme="majorEastAsia"/>
          <w:b/>
          <w:bCs/>
          <w:color w:val="auto"/>
          <w:sz w:val="24"/>
          <w:szCs w:val="24"/>
        </w:rPr>
      </w:pPr>
      <w:r>
        <w:rPr>
          <w:rFonts w:hint="default" w:ascii="Times New Roman" w:hAnsi="Times New Roman" w:cs="Times New Roman" w:eastAsiaTheme="majorEastAsia"/>
          <w:b/>
          <w:bCs/>
          <w:color w:val="auto"/>
          <w:sz w:val="24"/>
          <w:szCs w:val="24"/>
          <w:lang w:val="en-US" w:eastAsia="zh-CN"/>
        </w:rPr>
        <w:t xml:space="preserve">① </w:t>
      </w:r>
      <w:r>
        <w:rPr>
          <w:rFonts w:hint="default" w:ascii="Times New Roman" w:hAnsi="Times New Roman" w:cs="Times New Roman" w:eastAsiaTheme="majorEastAsia"/>
          <w:b/>
          <w:bCs/>
          <w:color w:val="auto"/>
          <w:sz w:val="24"/>
          <w:szCs w:val="24"/>
        </w:rPr>
        <w:t>首次获得国人慢性前列腺炎患病率、致病因素及其影响因素等流行病学资料。</w:t>
      </w:r>
    </w:p>
    <w:p w14:paraId="263FC9AE">
      <w:pPr>
        <w:spacing w:line="360" w:lineRule="auto"/>
        <w:ind w:firstLine="480" w:firstLineChars="200"/>
        <w:jc w:val="both"/>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候选人对我国五省市15000人开展流行病学调查，并研究3000例患者，首次得出我国慢性前列腺炎样症状患病率为8.4%，明确相关致病及影响因素，填补国内研究空白</w:t>
      </w:r>
      <w:r>
        <w:rPr>
          <w:rFonts w:hint="default" w:ascii="Times New Roman" w:hAnsi="Times New Roman" w:cs="Times New Roman" w:eastAsiaTheme="majorEastAsia"/>
          <w:color w:val="auto"/>
          <w:sz w:val="24"/>
          <w:szCs w:val="24"/>
          <w:lang w:eastAsia="zh-CN"/>
        </w:rPr>
        <w:t>（</w:t>
      </w:r>
      <w:r>
        <w:rPr>
          <w:rFonts w:hint="default" w:ascii="Times New Roman" w:hAnsi="Times New Roman" w:cs="Times New Roman" w:eastAsiaTheme="majorEastAsia"/>
          <w:i w:val="0"/>
          <w:iCs w:val="0"/>
          <w:color w:val="auto"/>
          <w:sz w:val="24"/>
          <w:szCs w:val="24"/>
          <w:lang w:eastAsia="zh-CN"/>
        </w:rPr>
        <w:t>J Urol</w:t>
      </w:r>
      <w:r>
        <w:rPr>
          <w:rFonts w:hint="default" w:ascii="Times New Roman" w:hAnsi="Times New Roman" w:cs="Times New Roman" w:eastAsiaTheme="majorEastAsia"/>
          <w:color w:val="auto"/>
          <w:sz w:val="24"/>
          <w:szCs w:val="24"/>
          <w:lang w:eastAsia="zh-CN"/>
        </w:rPr>
        <w:t>. 2009 Aug;182(2):558-63）</w:t>
      </w:r>
      <w:r>
        <w:rPr>
          <w:rFonts w:hint="default" w:ascii="Times New Roman" w:hAnsi="Times New Roman" w:cs="Times New Roman" w:eastAsiaTheme="majorEastAsia"/>
          <w:color w:val="auto"/>
          <w:sz w:val="24"/>
          <w:szCs w:val="24"/>
        </w:rPr>
        <w:t>。</w:t>
      </w:r>
    </w:p>
    <w:p w14:paraId="7FD3ADD5">
      <w:pPr>
        <w:numPr>
          <w:ilvl w:val="0"/>
          <w:numId w:val="0"/>
        </w:numPr>
        <w:spacing w:line="360" w:lineRule="auto"/>
        <w:jc w:val="both"/>
        <w:rPr>
          <w:rFonts w:hint="default" w:ascii="Times New Roman" w:hAnsi="Times New Roman" w:cs="Times New Roman" w:eastAsiaTheme="majorEastAsia"/>
          <w:b/>
          <w:bCs/>
          <w:color w:val="auto"/>
          <w:sz w:val="24"/>
          <w:szCs w:val="24"/>
        </w:rPr>
      </w:pPr>
      <w:r>
        <w:rPr>
          <w:rFonts w:hint="default" w:ascii="Times New Roman" w:hAnsi="Times New Roman" w:cs="Times New Roman" w:eastAsiaTheme="majorEastAsia"/>
          <w:b/>
          <w:bCs/>
          <w:color w:val="auto"/>
          <w:sz w:val="24"/>
          <w:szCs w:val="24"/>
          <w:lang w:val="en-US" w:eastAsia="zh-CN"/>
        </w:rPr>
        <w:t xml:space="preserve">② </w:t>
      </w:r>
      <w:r>
        <w:rPr>
          <w:rFonts w:hint="default" w:ascii="Times New Roman" w:hAnsi="Times New Roman" w:cs="Times New Roman" w:eastAsiaTheme="majorEastAsia"/>
          <w:b/>
          <w:bCs/>
          <w:color w:val="auto"/>
          <w:sz w:val="24"/>
          <w:szCs w:val="24"/>
        </w:rPr>
        <w:t>创建了中国慢性前列腺炎诊断与疗效评判标准并在临床推广应用。</w:t>
      </w:r>
    </w:p>
    <w:p w14:paraId="6242F4CE">
      <w:pPr>
        <w:numPr>
          <w:ilvl w:val="0"/>
          <w:numId w:val="0"/>
        </w:numPr>
        <w:spacing w:line="360" w:lineRule="auto"/>
        <w:ind w:leftChars="0" w:firstLine="480" w:firstLineChars="200"/>
        <w:jc w:val="both"/>
        <w:rPr>
          <w:rFonts w:hint="default" w:ascii="Times New Roman" w:hAnsi="Times New Roman" w:cs="Times New Roman" w:eastAsiaTheme="majorEastAsia"/>
          <w:b/>
          <w:bCs/>
          <w:color w:val="auto"/>
          <w:sz w:val="24"/>
          <w:szCs w:val="24"/>
          <w:lang w:eastAsia="zh-CN"/>
        </w:rPr>
      </w:pPr>
      <w:r>
        <w:rPr>
          <w:rFonts w:hint="default" w:ascii="Times New Roman" w:hAnsi="Times New Roman" w:cs="Times New Roman" w:eastAsiaTheme="majorEastAsia"/>
          <w:color w:val="auto"/>
          <w:sz w:val="24"/>
          <w:szCs w:val="24"/>
        </w:rPr>
        <w:t>项目组通过多项临床研究发现，慢性前列腺炎患者前列腺液白细胞数量与症状严重程度无直接关联，提示传统诊断标准存在局限。为此，项目组牵头组建“中国慢性前列腺炎疗效与评判标准协作组”，开展多中心研究，创新性提出以症状为核心的诊疗标准，并倡议将其更名为“前列腺盆腔综合征”，强调改善症状与生活质量为主要治疗目标。研究成果已写入最新版国家医学本科生规划教材《外科学（第十版）》</w:t>
      </w:r>
      <w:r>
        <w:rPr>
          <w:rFonts w:hint="default" w:ascii="Times New Roman" w:hAnsi="Times New Roman" w:cs="Times New Roman" w:eastAsiaTheme="majorEastAsia"/>
          <w:color w:val="auto"/>
          <w:sz w:val="24"/>
          <w:szCs w:val="24"/>
          <w:lang w:eastAsia="zh-CN"/>
        </w:rPr>
        <w:t>。</w:t>
      </w:r>
    </w:p>
    <w:p w14:paraId="4B87E84E">
      <w:pPr>
        <w:numPr>
          <w:ilvl w:val="0"/>
          <w:numId w:val="0"/>
        </w:numPr>
        <w:spacing w:line="360" w:lineRule="auto"/>
        <w:ind w:leftChars="0"/>
        <w:jc w:val="both"/>
        <w:rPr>
          <w:rFonts w:hint="default" w:ascii="Times New Roman" w:hAnsi="Times New Roman" w:cs="Times New Roman" w:eastAsiaTheme="majorEastAsia"/>
          <w:b/>
          <w:bCs/>
          <w:color w:val="auto"/>
          <w:sz w:val="24"/>
          <w:szCs w:val="24"/>
        </w:rPr>
      </w:pPr>
      <w:r>
        <w:rPr>
          <w:rFonts w:hint="default" w:ascii="Times New Roman" w:hAnsi="Times New Roman" w:cs="Times New Roman" w:eastAsiaTheme="majorEastAsia"/>
          <w:b/>
          <w:bCs/>
          <w:color w:val="auto"/>
          <w:sz w:val="24"/>
          <w:szCs w:val="24"/>
          <w:lang w:val="en-US" w:eastAsia="zh-CN"/>
        </w:rPr>
        <w:t xml:space="preserve">③ </w:t>
      </w:r>
      <w:r>
        <w:rPr>
          <w:rFonts w:hint="default" w:ascii="Times New Roman" w:hAnsi="Times New Roman" w:cs="Times New Roman" w:eastAsiaTheme="majorEastAsia"/>
          <w:b/>
          <w:bCs/>
          <w:color w:val="auto"/>
          <w:sz w:val="24"/>
          <w:szCs w:val="24"/>
        </w:rPr>
        <w:t>发现病原微生物不是慢性前列腺炎的主要致病因素。</w:t>
      </w:r>
    </w:p>
    <w:p w14:paraId="4184E8D6">
      <w:pPr>
        <w:numPr>
          <w:ilvl w:val="0"/>
          <w:numId w:val="0"/>
        </w:numPr>
        <w:spacing w:line="360" w:lineRule="auto"/>
        <w:ind w:leftChars="0" w:firstLine="480" w:firstLineChars="200"/>
        <w:jc w:val="both"/>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在病原学研究方面，候选人发现病原微生物不是慢性前列腺炎的致病因素，而是移生或伴随现象，其结果改变了临床医师对慢性前列腺炎病因的认识，为慢性前列腺炎的病因研究及治疗提供了重要的理论指导。</w:t>
      </w:r>
    </w:p>
    <w:p w14:paraId="677BA403">
      <w:pPr>
        <w:spacing w:beforeLines="0" w:afterLines="0" w:line="360" w:lineRule="auto"/>
        <w:jc w:val="both"/>
        <w:rPr>
          <w:rFonts w:hint="default" w:ascii="Times New Roman" w:hAnsi="Times New Roman" w:cs="Times New Roman" w:eastAsiaTheme="majorEastAsia"/>
          <w:b/>
          <w:bCs/>
          <w:color w:val="auto"/>
          <w:sz w:val="24"/>
          <w:szCs w:val="24"/>
        </w:rPr>
      </w:pPr>
      <w:r>
        <w:rPr>
          <w:rFonts w:hint="default" w:ascii="Times New Roman" w:hAnsi="Times New Roman" w:cs="Times New Roman" w:eastAsiaTheme="majorEastAsia"/>
          <w:b/>
          <w:bCs/>
          <w:color w:val="auto"/>
          <w:sz w:val="24"/>
          <w:szCs w:val="24"/>
          <w:lang w:val="en-US" w:eastAsia="zh-CN"/>
        </w:rPr>
        <w:t xml:space="preserve">④ </w:t>
      </w:r>
      <w:r>
        <w:rPr>
          <w:rFonts w:hint="default" w:ascii="Times New Roman" w:hAnsi="Times New Roman" w:cs="Times New Roman" w:eastAsiaTheme="majorEastAsia"/>
          <w:b/>
          <w:bCs/>
          <w:color w:val="auto"/>
          <w:sz w:val="24"/>
          <w:szCs w:val="24"/>
        </w:rPr>
        <w:t>首次描绘了前列腺炎症组织的miRNA差异表达谱。</w:t>
      </w:r>
    </w:p>
    <w:p w14:paraId="432EBA00">
      <w:pPr>
        <w:spacing w:beforeLines="0" w:afterLines="0" w:line="360" w:lineRule="auto"/>
        <w:ind w:firstLine="480" w:firstLineChars="200"/>
        <w:jc w:val="both"/>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候选人利用二代深度测序技术鉴定了慢性非细菌性前列腺炎模型鼠前列腺组织中差异表达的miRNA，富集了慢性非细菌性前列腺炎发生、进展过程中的关键生物学过程、分子功能、细胞组分与潜在调控网络，有望揭示miRNA 在慢性非细菌性前列腺炎免疫调控中的新机制，并有助于为慢性非细菌性前列腺炎的精准诊疗提供新靶点、新思路</w:t>
      </w:r>
      <w:r>
        <w:rPr>
          <w:rFonts w:hint="default" w:ascii="Times New Roman" w:hAnsi="Times New Roman" w:cs="Times New Roman" w:eastAsiaTheme="majorEastAsia"/>
          <w:color w:val="auto"/>
          <w:sz w:val="24"/>
          <w:szCs w:val="24"/>
          <w:lang w:eastAsia="zh-CN"/>
        </w:rPr>
        <w:t>（Asian J Androl. 2019 Jul-Aug;21(4):351-359）</w:t>
      </w:r>
      <w:r>
        <w:rPr>
          <w:rFonts w:hint="default" w:ascii="Times New Roman" w:hAnsi="Times New Roman" w:cs="Times New Roman" w:eastAsiaTheme="majorEastAsia"/>
          <w:color w:val="auto"/>
          <w:sz w:val="24"/>
          <w:szCs w:val="24"/>
        </w:rPr>
        <w:t>。</w:t>
      </w:r>
    </w:p>
    <w:p w14:paraId="1ED53184">
      <w:pPr>
        <w:spacing w:beforeLines="0" w:afterLines="0" w:line="360" w:lineRule="auto"/>
        <w:jc w:val="both"/>
        <w:rPr>
          <w:rFonts w:hint="default" w:ascii="Times New Roman" w:hAnsi="Times New Roman" w:cs="Times New Roman" w:eastAsiaTheme="majorEastAsia"/>
          <w:b/>
          <w:bCs/>
          <w:color w:val="auto"/>
          <w:sz w:val="24"/>
          <w:szCs w:val="24"/>
        </w:rPr>
      </w:pPr>
      <w:r>
        <w:rPr>
          <w:rFonts w:hint="default" w:ascii="Times New Roman" w:hAnsi="Times New Roman" w:cs="Times New Roman" w:eastAsiaTheme="majorEastAsia"/>
          <w:b/>
          <w:bCs/>
          <w:color w:val="auto"/>
          <w:sz w:val="24"/>
          <w:szCs w:val="24"/>
          <w:lang w:val="en-US" w:eastAsia="zh-CN"/>
        </w:rPr>
        <w:t>⑤ 发现前列腺基质细胞及前列腺上皮细胞损伤可诱发慢性前列腺炎</w:t>
      </w:r>
      <w:r>
        <w:rPr>
          <w:rFonts w:hint="default" w:ascii="Times New Roman" w:hAnsi="Times New Roman" w:cs="Times New Roman" w:eastAsiaTheme="majorEastAsia"/>
          <w:b/>
          <w:bCs/>
          <w:color w:val="auto"/>
          <w:sz w:val="24"/>
          <w:szCs w:val="24"/>
        </w:rPr>
        <w:t>。</w:t>
      </w:r>
    </w:p>
    <w:p w14:paraId="7B67354B">
      <w:pPr>
        <w:spacing w:line="360" w:lineRule="auto"/>
        <w:ind w:firstLine="480" w:firstLineChars="200"/>
        <w:jc w:val="both"/>
        <w:rPr>
          <w:rFonts w:hint="default" w:ascii="Times New Roman" w:hAnsi="Times New Roman" w:cs="Times New Roman" w:eastAsiaTheme="majorEastAsia"/>
          <w:bCs/>
          <w:color w:val="auto"/>
          <w:sz w:val="24"/>
          <w:szCs w:val="24"/>
        </w:rPr>
      </w:pPr>
      <w:r>
        <w:rPr>
          <w:rFonts w:hint="default" w:ascii="Times New Roman" w:hAnsi="Times New Roman" w:cs="Times New Roman" w:eastAsiaTheme="majorEastAsia"/>
          <w:bCs/>
          <w:color w:val="auto"/>
          <w:sz w:val="24"/>
          <w:szCs w:val="24"/>
        </w:rPr>
        <w:t>候选人从氧化应激、细胞焦亡和脂质代谢等角度系统揭示慢性前列腺炎的关键发病机制。研究发现，睡眠剥夺引起褪黑素与双氢睾酮缺乏，诱发前列腺基质细胞线粒体损伤并激活cGAS-STING通路，促进炎症</w:t>
      </w:r>
      <w:r>
        <w:rPr>
          <w:rFonts w:hint="default" w:ascii="Times New Roman" w:hAnsi="Times New Roman" w:cs="Times New Roman" w:eastAsiaTheme="majorEastAsia"/>
          <w:bCs/>
          <w:color w:val="auto"/>
          <w:sz w:val="24"/>
          <w:szCs w:val="24"/>
          <w:lang w:eastAsia="zh-CN"/>
        </w:rPr>
        <w:t>（Cell Commun Signal. 2024 Mar 15;22(1):183</w:t>
      </w:r>
      <w:r>
        <w:rPr>
          <w:rFonts w:hint="default" w:ascii="Times New Roman" w:hAnsi="Times New Roman" w:cs="Times New Roman" w:eastAsiaTheme="majorEastAsia"/>
          <w:bCs/>
          <w:color w:val="auto"/>
          <w:sz w:val="24"/>
          <w:szCs w:val="24"/>
          <w:lang w:val="en-US" w:eastAsia="zh-CN"/>
        </w:rPr>
        <w:t>, 图1</w:t>
      </w:r>
      <w:r>
        <w:rPr>
          <w:rFonts w:hint="default" w:ascii="Times New Roman" w:hAnsi="Times New Roman" w:cs="Times New Roman" w:eastAsiaTheme="majorEastAsia"/>
          <w:bCs/>
          <w:color w:val="auto"/>
          <w:sz w:val="24"/>
          <w:szCs w:val="24"/>
          <w:lang w:eastAsia="zh-CN"/>
        </w:rPr>
        <w:t>）</w:t>
      </w:r>
      <w:r>
        <w:rPr>
          <w:rFonts w:hint="default" w:ascii="Times New Roman" w:hAnsi="Times New Roman" w:cs="Times New Roman" w:eastAsiaTheme="majorEastAsia"/>
          <w:bCs/>
          <w:color w:val="auto"/>
          <w:sz w:val="24"/>
          <w:szCs w:val="24"/>
        </w:rPr>
        <w:t>。另发现P2X7R激活增强NEK7-NLRP3相互作用，诱导细胞焦亡加重炎症</w:t>
      </w:r>
      <w:r>
        <w:rPr>
          <w:rFonts w:hint="default" w:ascii="Times New Roman" w:hAnsi="Times New Roman" w:cs="Times New Roman" w:eastAsiaTheme="majorEastAsia"/>
          <w:bCs/>
          <w:color w:val="auto"/>
          <w:sz w:val="24"/>
          <w:szCs w:val="24"/>
          <w:lang w:eastAsia="zh-CN"/>
        </w:rPr>
        <w:t>（Int J Biol Sci. 2024 Jun 11;20(9):3393-3411</w:t>
      </w:r>
      <w:r>
        <w:rPr>
          <w:rFonts w:hint="default" w:ascii="Times New Roman" w:hAnsi="Times New Roman" w:cs="Times New Roman" w:eastAsiaTheme="majorEastAsia"/>
          <w:bCs/>
          <w:color w:val="auto"/>
          <w:sz w:val="24"/>
          <w:szCs w:val="24"/>
          <w:lang w:val="en-US" w:eastAsia="zh-CN"/>
        </w:rPr>
        <w:t>, 图2</w:t>
      </w:r>
      <w:r>
        <w:rPr>
          <w:rFonts w:hint="default" w:ascii="Times New Roman" w:hAnsi="Times New Roman" w:cs="Times New Roman" w:eastAsiaTheme="majorEastAsia"/>
          <w:bCs/>
          <w:color w:val="auto"/>
          <w:sz w:val="24"/>
          <w:szCs w:val="24"/>
          <w:lang w:eastAsia="zh-CN"/>
        </w:rPr>
        <w:t>）</w:t>
      </w:r>
      <w:r>
        <w:rPr>
          <w:rFonts w:hint="default" w:ascii="Times New Roman" w:hAnsi="Times New Roman" w:cs="Times New Roman" w:eastAsiaTheme="majorEastAsia"/>
          <w:bCs/>
          <w:color w:val="auto"/>
          <w:sz w:val="24"/>
          <w:szCs w:val="24"/>
        </w:rPr>
        <w:t>。此外，CXCR4上调通过抑制PPARG-FADS2通路降低ALA水平，导致氧化应激，外源性ALA可缓解损伤</w:t>
      </w:r>
      <w:r>
        <w:rPr>
          <w:rFonts w:hint="default" w:ascii="Times New Roman" w:hAnsi="Times New Roman" w:cs="Times New Roman" w:eastAsiaTheme="majorEastAsia"/>
          <w:bCs/>
          <w:color w:val="auto"/>
          <w:sz w:val="24"/>
          <w:szCs w:val="24"/>
          <w:lang w:eastAsia="zh-CN"/>
        </w:rPr>
        <w:t>（Free Radic Biol Med. 2024 Oct;223:237-249）</w:t>
      </w:r>
      <w:r>
        <w:rPr>
          <w:rFonts w:hint="default" w:ascii="Times New Roman" w:hAnsi="Times New Roman" w:cs="Times New Roman" w:eastAsiaTheme="majorEastAsia"/>
          <w:bCs/>
          <w:color w:val="auto"/>
          <w:sz w:val="24"/>
          <w:szCs w:val="24"/>
        </w:rPr>
        <w:t>。该系列研究为临床干预提供新靶点。</w:t>
      </w:r>
    </w:p>
    <w:p w14:paraId="24A148FE">
      <w:pPr>
        <w:spacing w:beforeLines="0" w:afterLines="0" w:line="360" w:lineRule="auto"/>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drawing>
          <wp:inline distT="0" distB="0" distL="114300" distR="114300">
            <wp:extent cx="4022090" cy="2970530"/>
            <wp:effectExtent l="0" t="0" r="381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4022090" cy="2970530"/>
                    </a:xfrm>
                    <a:prstGeom prst="rect">
                      <a:avLst/>
                    </a:prstGeom>
                    <a:noFill/>
                    <a:ln>
                      <a:noFill/>
                    </a:ln>
                  </pic:spPr>
                </pic:pic>
              </a:graphicData>
            </a:graphic>
          </wp:inline>
        </w:drawing>
      </w:r>
    </w:p>
    <w:p w14:paraId="5F40CCEB">
      <w:pPr>
        <w:spacing w:beforeLines="0" w:afterLines="0" w:line="360" w:lineRule="auto"/>
        <w:jc w:val="center"/>
        <w:rPr>
          <w:rFonts w:hint="default" w:ascii="Times New Roman" w:hAnsi="Times New Roman" w:cs="Times New Roman" w:eastAsiaTheme="majorEastAsia"/>
          <w:color w:val="auto"/>
          <w:sz w:val="24"/>
          <w:szCs w:val="24"/>
          <w:lang w:val="en-US" w:eastAsia="zh-CN"/>
        </w:rPr>
      </w:pPr>
      <w:r>
        <w:rPr>
          <w:rFonts w:hint="default" w:ascii="Times New Roman" w:hAnsi="Times New Roman" w:cs="Times New Roman" w:eastAsiaTheme="majorEastAsia"/>
          <w:color w:val="auto"/>
          <w:sz w:val="24"/>
          <w:szCs w:val="24"/>
          <w:lang w:val="en-US" w:eastAsia="zh-CN"/>
        </w:rPr>
        <w:t>图1. 褪黑素和双氢睾酮的双重缺乏诱发慢性前列腺炎机制图。</w:t>
      </w:r>
    </w:p>
    <w:p w14:paraId="7B1C7018">
      <w:pPr>
        <w:spacing w:beforeLines="0" w:afterLines="0" w:line="360" w:lineRule="auto"/>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drawing>
          <wp:inline distT="0" distB="0" distL="114300" distR="114300">
            <wp:extent cx="3288665" cy="3060065"/>
            <wp:effectExtent l="0" t="0" r="635" b="63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tretch>
                      <a:fillRect/>
                    </a:stretch>
                  </pic:blipFill>
                  <pic:spPr>
                    <a:xfrm>
                      <a:off x="0" y="0"/>
                      <a:ext cx="3288665" cy="3060065"/>
                    </a:xfrm>
                    <a:prstGeom prst="rect">
                      <a:avLst/>
                    </a:prstGeom>
                    <a:noFill/>
                    <a:ln>
                      <a:noFill/>
                    </a:ln>
                  </pic:spPr>
                </pic:pic>
              </a:graphicData>
            </a:graphic>
          </wp:inline>
        </w:drawing>
      </w:r>
    </w:p>
    <w:p w14:paraId="687EED5B">
      <w:pPr>
        <w:spacing w:beforeLines="0" w:afterLines="0" w:line="360" w:lineRule="auto"/>
        <w:jc w:val="center"/>
        <w:rPr>
          <w:rFonts w:hint="default" w:ascii="Times New Roman" w:hAnsi="Times New Roman" w:cs="Times New Roman" w:eastAsiaTheme="majorEastAsia"/>
          <w:color w:val="auto"/>
          <w:sz w:val="24"/>
          <w:szCs w:val="24"/>
          <w:lang w:val="en-US" w:eastAsia="zh-CN"/>
        </w:rPr>
      </w:pPr>
      <w:r>
        <w:rPr>
          <w:rFonts w:hint="default" w:ascii="Times New Roman" w:hAnsi="Times New Roman" w:cs="Times New Roman" w:eastAsiaTheme="majorEastAsia"/>
          <w:color w:val="auto"/>
          <w:sz w:val="24"/>
          <w:szCs w:val="24"/>
          <w:lang w:val="en-US" w:eastAsia="zh-CN"/>
        </w:rPr>
        <w:t>图2. 前列腺上皮损伤诱发慢性前列腺炎机制图。</w:t>
      </w:r>
    </w:p>
    <w:p w14:paraId="1DA7744D">
      <w:pPr>
        <w:spacing w:beforeLines="0" w:afterLines="0" w:line="360" w:lineRule="auto"/>
        <w:jc w:val="both"/>
        <w:rPr>
          <w:rFonts w:hint="default" w:ascii="Times New Roman" w:hAnsi="Times New Roman" w:cs="Times New Roman" w:eastAsiaTheme="majorEastAsia"/>
          <w:bCs/>
          <w:color w:val="auto"/>
          <w:sz w:val="24"/>
          <w:szCs w:val="24"/>
        </w:rPr>
      </w:pPr>
      <w:r>
        <w:rPr>
          <w:rFonts w:hint="default" w:ascii="Times New Roman" w:hAnsi="Times New Roman" w:cs="Times New Roman" w:eastAsiaTheme="majorEastAsia"/>
          <w:b/>
          <w:bCs/>
          <w:color w:val="auto"/>
          <w:sz w:val="24"/>
          <w:szCs w:val="24"/>
          <w:lang w:val="en-US" w:eastAsia="zh-CN"/>
        </w:rPr>
        <w:t>⑥ 发现M1异常极化在慢性前列腺炎发生发展中发挥重要作用，抑制M1极化可缓解慢性前列腺炎。</w:t>
      </w:r>
    </w:p>
    <w:p w14:paraId="1382D2E9">
      <w:pPr>
        <w:spacing w:line="360" w:lineRule="auto"/>
        <w:ind w:firstLine="480" w:firstLineChars="200"/>
        <w:jc w:val="both"/>
        <w:rPr>
          <w:rFonts w:hint="default" w:ascii="Times New Roman" w:hAnsi="Times New Roman" w:cs="Times New Roman" w:eastAsiaTheme="majorEastAsia"/>
          <w:bCs/>
          <w:color w:val="auto"/>
          <w:sz w:val="24"/>
          <w:szCs w:val="24"/>
        </w:rPr>
      </w:pPr>
      <w:r>
        <w:rPr>
          <w:rFonts w:hint="default" w:ascii="Times New Roman" w:hAnsi="Times New Roman" w:cs="Times New Roman" w:eastAsiaTheme="majorEastAsia"/>
          <w:bCs/>
          <w:color w:val="auto"/>
          <w:sz w:val="24"/>
          <w:szCs w:val="24"/>
          <w:lang w:val="en-US" w:eastAsia="zh-CN"/>
        </w:rPr>
        <w:t>候选人系统研究了M1型巨噬细胞在慢性前列腺炎中的致病机制。发现CXCR4在巨噬细胞中高表达，沉默其表达可抑制糖酵解、增强线粒体代谢，从而抑制M1极化并缓解前列腺纤维化（Cell Commun Signal. 2024 Sep 26;22(1):456，图3）。进一步发现，CCL5-CCR5轴激活NF-κB/STAT1通路，促进M1极化，使用maraviroc或JSH-23可显著减轻炎症和疼痛（Cell Commun Signal. 2024 Dec 5;22:584，图4）。此外，Eriocalyxin B通过调节肠道菌群诱导M1向M2转化（Phytomedicine. 2024 Dec;135:156191）；奥巴诺酮可抑制MIF介导的促炎因子释放，缓解前列腺痛（Biochem Biophys Rep. 2023 Oct 31;36:101565）。该系列研究明确了M1极化在慢性前列腺炎中的关键作用，为靶向治疗提供新思路。</w:t>
      </w:r>
    </w:p>
    <w:p w14:paraId="4F1B4F95">
      <w:pPr>
        <w:spacing w:line="360" w:lineRule="auto"/>
        <w:jc w:val="both"/>
        <w:rPr>
          <w:rFonts w:hint="default" w:ascii="Times New Roman" w:hAnsi="Times New Roman" w:cs="Times New Roman" w:eastAsiaTheme="majorEastAsia"/>
          <w:color w:val="auto"/>
          <w:sz w:val="24"/>
          <w:szCs w:val="24"/>
          <w:lang w:eastAsia="zh-CN"/>
        </w:rPr>
      </w:pPr>
      <w:r>
        <w:rPr>
          <w:rFonts w:hint="default" w:ascii="Times New Roman" w:hAnsi="Times New Roman" w:cs="Times New Roman" w:eastAsiaTheme="majorEastAsia"/>
          <w:color w:val="auto"/>
          <w:sz w:val="24"/>
          <w:szCs w:val="24"/>
          <w:lang w:eastAsia="zh-CN"/>
        </w:rPr>
        <w:drawing>
          <wp:inline distT="0" distB="0" distL="114300" distR="114300">
            <wp:extent cx="5268595" cy="2672080"/>
            <wp:effectExtent l="0" t="0" r="1905" b="7620"/>
            <wp:docPr id="7" name="图片 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未标题-1"/>
                    <pic:cNvPicPr>
                      <a:picLocks noChangeAspect="1"/>
                    </pic:cNvPicPr>
                  </pic:nvPicPr>
                  <pic:blipFill>
                    <a:blip r:embed="rId7"/>
                    <a:stretch>
                      <a:fillRect/>
                    </a:stretch>
                  </pic:blipFill>
                  <pic:spPr>
                    <a:xfrm>
                      <a:off x="0" y="0"/>
                      <a:ext cx="5268595" cy="2672080"/>
                    </a:xfrm>
                    <a:prstGeom prst="rect">
                      <a:avLst/>
                    </a:prstGeom>
                  </pic:spPr>
                </pic:pic>
              </a:graphicData>
            </a:graphic>
          </wp:inline>
        </w:drawing>
      </w:r>
    </w:p>
    <w:p w14:paraId="3370A353">
      <w:pPr>
        <w:spacing w:beforeLines="0" w:afterLines="0" w:line="360" w:lineRule="auto"/>
        <w:jc w:val="center"/>
        <w:rPr>
          <w:rFonts w:hint="default" w:ascii="Times New Roman" w:hAnsi="Times New Roman" w:cs="Times New Roman" w:eastAsiaTheme="majorEastAsia"/>
          <w:color w:val="auto"/>
          <w:sz w:val="24"/>
          <w:szCs w:val="24"/>
          <w:lang w:val="en-US" w:eastAsia="zh-CN"/>
        </w:rPr>
      </w:pPr>
      <w:r>
        <w:rPr>
          <w:rFonts w:hint="default" w:ascii="Times New Roman" w:hAnsi="Times New Roman" w:cs="Times New Roman" w:eastAsiaTheme="majorEastAsia"/>
          <w:color w:val="auto"/>
          <w:sz w:val="24"/>
          <w:szCs w:val="24"/>
          <w:lang w:val="en-US" w:eastAsia="zh-CN"/>
        </w:rPr>
        <w:t>图3. CXCR4通过影响糖酵解重编程改变M1极化影响慢性前列腺炎纤维化进程机制图。</w:t>
      </w:r>
    </w:p>
    <w:p w14:paraId="6DA5EF50">
      <w:pPr>
        <w:spacing w:beforeLines="0" w:afterLines="0" w:line="360" w:lineRule="auto"/>
        <w:jc w:val="center"/>
        <w:rPr>
          <w:rFonts w:hint="default" w:ascii="Times New Roman" w:hAnsi="Times New Roman" w:cs="Times New Roman" w:eastAsiaTheme="majorEastAsia"/>
          <w:color w:val="auto"/>
          <w:sz w:val="24"/>
          <w:szCs w:val="24"/>
          <w:lang w:val="en-US" w:eastAsia="zh-CN"/>
        </w:rPr>
      </w:pPr>
      <w:r>
        <w:rPr>
          <w:rFonts w:hint="default" w:ascii="Times New Roman" w:hAnsi="Times New Roman" w:cs="Times New Roman" w:eastAsiaTheme="majorEastAsia"/>
          <w:color w:val="auto"/>
          <w:sz w:val="24"/>
          <w:szCs w:val="24"/>
          <w:lang w:val="en-US" w:eastAsia="zh-CN"/>
        </w:rPr>
        <w:drawing>
          <wp:inline distT="0" distB="0" distL="114300" distR="114300">
            <wp:extent cx="2931160" cy="2745740"/>
            <wp:effectExtent l="0" t="0" r="2540" b="10160"/>
            <wp:docPr id="5" name="图片 5" descr="174980978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749809788398"/>
                    <pic:cNvPicPr>
                      <a:picLocks noChangeAspect="1"/>
                    </pic:cNvPicPr>
                  </pic:nvPicPr>
                  <pic:blipFill>
                    <a:blip r:embed="rId8"/>
                    <a:stretch>
                      <a:fillRect/>
                    </a:stretch>
                  </pic:blipFill>
                  <pic:spPr>
                    <a:xfrm>
                      <a:off x="0" y="0"/>
                      <a:ext cx="2931160" cy="2745740"/>
                    </a:xfrm>
                    <a:prstGeom prst="rect">
                      <a:avLst/>
                    </a:prstGeom>
                  </pic:spPr>
                </pic:pic>
              </a:graphicData>
            </a:graphic>
          </wp:inline>
        </w:drawing>
      </w:r>
    </w:p>
    <w:p w14:paraId="38945C16">
      <w:pPr>
        <w:spacing w:beforeLines="0" w:afterLines="0" w:line="360" w:lineRule="auto"/>
        <w:jc w:val="center"/>
        <w:rPr>
          <w:rFonts w:hint="default" w:ascii="Times New Roman" w:hAnsi="Times New Roman" w:cs="Times New Roman" w:eastAsiaTheme="majorEastAsia"/>
          <w:color w:val="auto"/>
          <w:sz w:val="24"/>
          <w:szCs w:val="24"/>
          <w:lang w:val="en-US" w:eastAsia="zh-CN"/>
        </w:rPr>
      </w:pPr>
      <w:r>
        <w:rPr>
          <w:rFonts w:hint="default" w:ascii="Times New Roman" w:hAnsi="Times New Roman" w:cs="Times New Roman" w:eastAsiaTheme="majorEastAsia"/>
          <w:color w:val="auto"/>
          <w:sz w:val="24"/>
          <w:szCs w:val="24"/>
          <w:lang w:val="en-US" w:eastAsia="zh-CN"/>
        </w:rPr>
        <w:t>图4. CCL5/CCR5/SHP2轴促进M1巨噬细胞极化进加重慢性前列腺炎症机制图。</w:t>
      </w:r>
    </w:p>
    <w:p w14:paraId="75A83C64">
      <w:pPr>
        <w:numPr>
          <w:ilvl w:val="0"/>
          <w:numId w:val="0"/>
        </w:numPr>
        <w:spacing w:line="360" w:lineRule="auto"/>
        <w:jc w:val="both"/>
        <w:rPr>
          <w:rFonts w:hint="default" w:ascii="Times New Roman" w:hAnsi="Times New Roman" w:cs="Times New Roman" w:eastAsiaTheme="majorEastAsia"/>
          <w:b/>
          <w:color w:val="auto"/>
          <w:sz w:val="24"/>
          <w:szCs w:val="24"/>
          <w:lang w:eastAsia="zh-CN"/>
        </w:rPr>
      </w:pPr>
      <w:r>
        <w:rPr>
          <w:rFonts w:hint="default" w:ascii="Times New Roman" w:hAnsi="Times New Roman" w:cs="Times New Roman" w:eastAsiaTheme="majorEastAsia"/>
          <w:b/>
          <w:color w:val="auto"/>
          <w:sz w:val="24"/>
          <w:szCs w:val="24"/>
          <w:lang w:val="en-US" w:eastAsia="zh-CN"/>
        </w:rPr>
        <w:t>⑦ 发现不良</w:t>
      </w:r>
      <w:r>
        <w:rPr>
          <w:rFonts w:hint="default" w:ascii="Times New Roman" w:hAnsi="Times New Roman" w:cs="Times New Roman" w:eastAsiaTheme="majorEastAsia"/>
          <w:b/>
          <w:color w:val="auto"/>
          <w:sz w:val="24"/>
          <w:szCs w:val="24"/>
        </w:rPr>
        <w:t>饮食通过诱导肠道菌群失调</w:t>
      </w:r>
      <w:r>
        <w:rPr>
          <w:rFonts w:hint="default" w:ascii="Times New Roman" w:hAnsi="Times New Roman" w:cs="Times New Roman" w:eastAsiaTheme="majorEastAsia"/>
          <w:b/>
          <w:color w:val="auto"/>
          <w:sz w:val="24"/>
          <w:szCs w:val="24"/>
          <w:lang w:val="en-US" w:eastAsia="zh-CN"/>
        </w:rPr>
        <w:t>进而</w:t>
      </w:r>
      <w:r>
        <w:rPr>
          <w:rFonts w:hint="default" w:ascii="Times New Roman" w:hAnsi="Times New Roman" w:cs="Times New Roman" w:eastAsiaTheme="majorEastAsia"/>
          <w:b/>
          <w:color w:val="auto"/>
          <w:sz w:val="24"/>
          <w:szCs w:val="24"/>
        </w:rPr>
        <w:t>加重</w:t>
      </w:r>
      <w:r>
        <w:rPr>
          <w:rFonts w:hint="default" w:ascii="Times New Roman" w:hAnsi="Times New Roman" w:cs="Times New Roman" w:eastAsiaTheme="majorEastAsia"/>
          <w:b/>
          <w:color w:val="auto"/>
          <w:sz w:val="24"/>
          <w:szCs w:val="24"/>
          <w:lang w:val="en-US" w:eastAsia="zh-CN"/>
        </w:rPr>
        <w:t>慢性</w:t>
      </w:r>
      <w:r>
        <w:rPr>
          <w:rFonts w:hint="default" w:ascii="Times New Roman" w:hAnsi="Times New Roman" w:cs="Times New Roman" w:eastAsiaTheme="majorEastAsia"/>
          <w:b/>
          <w:color w:val="auto"/>
          <w:sz w:val="24"/>
          <w:szCs w:val="24"/>
        </w:rPr>
        <w:t>前列腺炎</w:t>
      </w:r>
      <w:r>
        <w:rPr>
          <w:rFonts w:hint="default" w:ascii="Times New Roman" w:hAnsi="Times New Roman" w:cs="Times New Roman" w:eastAsiaTheme="majorEastAsia"/>
          <w:b/>
          <w:color w:val="auto"/>
          <w:sz w:val="24"/>
          <w:szCs w:val="24"/>
          <w:lang w:eastAsia="zh-CN"/>
        </w:rPr>
        <w:t>。</w:t>
      </w:r>
    </w:p>
    <w:p w14:paraId="45F33308">
      <w:pPr>
        <w:spacing w:line="360" w:lineRule="auto"/>
        <w:ind w:firstLine="480" w:firstLineChars="200"/>
        <w:jc w:val="both"/>
        <w:rPr>
          <w:rFonts w:hint="default" w:ascii="Times New Roman" w:hAnsi="Times New Roman" w:cs="Times New Roman" w:eastAsiaTheme="majorEastAsia"/>
          <w:bCs/>
          <w:color w:val="auto"/>
          <w:sz w:val="24"/>
          <w:szCs w:val="24"/>
          <w:lang w:val="en-US" w:eastAsia="zh-CN"/>
        </w:rPr>
      </w:pPr>
      <w:r>
        <w:rPr>
          <w:rFonts w:hint="default" w:ascii="Times New Roman" w:hAnsi="Times New Roman" w:cs="Times New Roman" w:eastAsiaTheme="majorEastAsia"/>
          <w:bCs/>
          <w:color w:val="auto"/>
          <w:sz w:val="24"/>
          <w:szCs w:val="24"/>
          <w:lang w:val="en-US" w:eastAsia="zh-CN"/>
        </w:rPr>
        <w:t>候选人围绕“肠-前列腺轴”构建“膳食-菌群-免疫”调控框架，发现高盐饮食重塑肠道微生态，降低乳酸杆菌及其代谢产物5-HIAA水平，解除其对Th17细胞分化的抑制作用，促进慢性前列腺炎进展（Mil Med Res. 2025 May 19;12(1):21，图5）。此外，酒精与高糖饮食诱导菌群紊乱，上调SREBP2驱动胆固醇合成，加剧Th17极化与炎症（Int Immunopharmacol. 2024 Sep 30;139:112669；Int Immunopharmacol. 2024 Mar 30;130:111682.）。该系列研究揭示了饮食调控菌群与免疫的致病机制，为慢性前列腺炎精准干预提供新思路。</w:t>
      </w:r>
    </w:p>
    <w:p w14:paraId="14A982FE">
      <w:pPr>
        <w:spacing w:line="360" w:lineRule="auto"/>
        <w:jc w:val="center"/>
        <w:rPr>
          <w:rFonts w:hint="default" w:ascii="Times New Roman" w:hAnsi="Times New Roman" w:cs="Times New Roman" w:eastAsiaTheme="majorEastAsia"/>
          <w:bCs/>
          <w:color w:val="auto"/>
          <w:sz w:val="24"/>
          <w:szCs w:val="24"/>
          <w:lang w:val="en-US" w:eastAsia="zh-CN"/>
        </w:rPr>
      </w:pPr>
      <w:r>
        <w:rPr>
          <w:rFonts w:hint="default" w:ascii="Times New Roman" w:hAnsi="Times New Roman" w:cs="Times New Roman" w:eastAsiaTheme="majorEastAsia"/>
          <w:color w:val="auto"/>
          <w:sz w:val="24"/>
          <w:szCs w:val="24"/>
        </w:rPr>
        <w:drawing>
          <wp:inline distT="0" distB="0" distL="114300" distR="114300">
            <wp:extent cx="2997835" cy="2627630"/>
            <wp:effectExtent l="0" t="0" r="1206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rcRect l="589"/>
                    <a:stretch>
                      <a:fillRect/>
                    </a:stretch>
                  </pic:blipFill>
                  <pic:spPr>
                    <a:xfrm>
                      <a:off x="0" y="0"/>
                      <a:ext cx="2997835" cy="2627630"/>
                    </a:xfrm>
                    <a:prstGeom prst="rect">
                      <a:avLst/>
                    </a:prstGeom>
                    <a:noFill/>
                    <a:ln>
                      <a:noFill/>
                    </a:ln>
                  </pic:spPr>
                </pic:pic>
              </a:graphicData>
            </a:graphic>
          </wp:inline>
        </w:drawing>
      </w:r>
    </w:p>
    <w:p w14:paraId="5FD84EE2">
      <w:pPr>
        <w:spacing w:beforeLines="0" w:afterLines="0" w:line="360" w:lineRule="auto"/>
        <w:jc w:val="center"/>
        <w:rPr>
          <w:rFonts w:hint="default" w:ascii="Times New Roman" w:hAnsi="Times New Roman" w:cs="Times New Roman" w:eastAsiaTheme="majorEastAsia"/>
          <w:color w:val="auto"/>
          <w:sz w:val="24"/>
          <w:szCs w:val="24"/>
          <w:lang w:val="en-US" w:eastAsia="zh-CN"/>
        </w:rPr>
      </w:pPr>
      <w:r>
        <w:rPr>
          <w:rFonts w:hint="default" w:ascii="Times New Roman" w:hAnsi="Times New Roman" w:cs="Times New Roman" w:eastAsiaTheme="majorEastAsia"/>
          <w:color w:val="auto"/>
          <w:sz w:val="24"/>
          <w:szCs w:val="24"/>
          <w:lang w:val="en-US" w:eastAsia="zh-CN"/>
        </w:rPr>
        <w:t>图5. 高盐饮食加重慢性前列腺炎机制图。</w:t>
      </w:r>
    </w:p>
    <w:p w14:paraId="2DD6B873">
      <w:pPr>
        <w:spacing w:line="360" w:lineRule="auto"/>
        <w:jc w:val="both"/>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b w:val="0"/>
          <w:bCs w:val="0"/>
          <w:color w:val="auto"/>
          <w:sz w:val="24"/>
          <w:szCs w:val="24"/>
          <w:lang w:val="en-US" w:eastAsia="zh-CN"/>
        </w:rPr>
        <w:t>（2）在</w:t>
      </w:r>
      <w:r>
        <w:rPr>
          <w:rFonts w:hint="default" w:ascii="Times New Roman" w:hAnsi="Times New Roman" w:cs="Times New Roman" w:eastAsiaTheme="majorEastAsia"/>
          <w:b w:val="0"/>
          <w:bCs w:val="0"/>
          <w:color w:val="auto"/>
          <w:sz w:val="24"/>
          <w:szCs w:val="24"/>
        </w:rPr>
        <w:t>前列腺增生领域开展10项国际首创临床新技术及多项创新医疗器械产品研发及转化</w:t>
      </w:r>
      <w:r>
        <w:rPr>
          <w:rFonts w:hint="default" w:ascii="Times New Roman" w:hAnsi="Times New Roman" w:cs="Times New Roman" w:eastAsiaTheme="majorEastAsia"/>
          <w:b w:val="0"/>
          <w:bCs w:val="0"/>
          <w:color w:val="auto"/>
          <w:sz w:val="24"/>
          <w:szCs w:val="24"/>
          <w:lang w:eastAsia="zh-CN"/>
        </w:rPr>
        <w:t>。</w:t>
      </w:r>
      <w:r>
        <w:rPr>
          <w:rFonts w:hint="default" w:ascii="Times New Roman" w:hAnsi="Times New Roman" w:cs="Times New Roman" w:eastAsiaTheme="majorEastAsia"/>
          <w:color w:val="auto"/>
          <w:sz w:val="24"/>
          <w:szCs w:val="24"/>
        </w:rPr>
        <w:t>创新了超大前列腺增生经尿道手术治疗的关键步骤，成功突破手术技术瓶颈；推动经尿道前列腺增生手术治疗进入“日间手术时代”；首次提出了“小口径激光电切镜”的概念，成功实现专利产品的落地转化。以上手术方式、模式和产品的创新及观点均得到同行的广泛认可，提高了手术疗效，减少并发症，项目成果在国内50多家三甲医院应用推广，团队成员应邀在国内外学术会议上做手术演示和大会报告200余次，产生了良好的社会和经济效益。</w:t>
      </w:r>
    </w:p>
    <w:p w14:paraId="216EE0B2">
      <w:pPr>
        <w:spacing w:line="360" w:lineRule="auto"/>
        <w:jc w:val="both"/>
        <w:rPr>
          <w:rFonts w:hint="default" w:ascii="Times New Roman" w:hAnsi="Times New Roman" w:cs="Times New Roman" w:eastAsiaTheme="majorEastAsia"/>
          <w:b/>
          <w:bCs/>
          <w:color w:val="auto"/>
          <w:sz w:val="24"/>
          <w:szCs w:val="24"/>
        </w:rPr>
      </w:pPr>
      <w:r>
        <w:rPr>
          <w:rFonts w:hint="default" w:ascii="Times New Roman" w:hAnsi="Times New Roman" w:cs="Times New Roman" w:eastAsiaTheme="majorEastAsia"/>
          <w:b/>
          <w:bCs/>
          <w:color w:val="auto"/>
          <w:sz w:val="24"/>
          <w:szCs w:val="24"/>
          <w:lang w:val="en-US" w:eastAsia="zh-CN"/>
        </w:rPr>
        <w:t xml:space="preserve">① </w:t>
      </w:r>
      <w:r>
        <w:rPr>
          <w:rFonts w:hint="default" w:ascii="Times New Roman" w:hAnsi="Times New Roman" w:cs="Times New Roman" w:eastAsiaTheme="majorEastAsia"/>
          <w:b/>
          <w:bCs/>
          <w:color w:val="auto"/>
          <w:sz w:val="24"/>
          <w:szCs w:val="24"/>
        </w:rPr>
        <w:t>带领团队成功完成世界上最大前列腺增生经尿道微创手术，成果被国际权威指南引用</w:t>
      </w:r>
    </w:p>
    <w:p w14:paraId="35AEBE61">
      <w:pPr>
        <w:spacing w:line="360" w:lineRule="auto"/>
        <w:ind w:firstLine="480" w:firstLineChars="200"/>
        <w:jc w:val="both"/>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良性前列腺增生是引起中老年男性下尿路症状的最常见疾病，外科手术是良性前列腺增生最有效的治疗方案。手术治疗的难度及手术风险均随着前列腺体积的增加而增加，一般前列腺大于60克，即属于大体积前列腺。候选人带领项目组创新性运用“分叶、分块及分步”的解剖性剜除法先后完成574克和795克超大前列腺增生手术（图</w:t>
      </w:r>
      <w:r>
        <w:rPr>
          <w:rFonts w:hint="default" w:ascii="Times New Roman" w:hAnsi="Times New Roman" w:cs="Times New Roman" w:eastAsiaTheme="majorEastAsia"/>
          <w:color w:val="auto"/>
          <w:sz w:val="24"/>
          <w:szCs w:val="24"/>
          <w:lang w:val="en-US" w:eastAsia="zh-CN"/>
        </w:rPr>
        <w:t>6</w:t>
      </w:r>
      <w:r>
        <w:rPr>
          <w:rFonts w:hint="default" w:ascii="Times New Roman" w:hAnsi="Times New Roman" w:cs="Times New Roman" w:eastAsiaTheme="majorEastAsia"/>
          <w:color w:val="auto"/>
          <w:sz w:val="24"/>
          <w:szCs w:val="24"/>
        </w:rPr>
        <w:t xml:space="preserve">），有效解决了大体积前列腺手术时间长、创伤大、出血多等临床难题，成功带领我省微创外科技术进入世界先进行列。相关成果受邀在中国、欧洲、美国及世界泌尿外科年会等国际顶级学术会议报告，并发表论文发表在European Urology Supplements、Journal of Urology、Word </w:t>
      </w:r>
      <w:r>
        <w:rPr>
          <w:rFonts w:hint="default" w:ascii="Times New Roman" w:hAnsi="Times New Roman" w:cs="Times New Roman" w:eastAsiaTheme="majorEastAsia"/>
          <w:color w:val="auto"/>
          <w:sz w:val="24"/>
          <w:szCs w:val="24"/>
          <w:lang w:val="en-US" w:eastAsia="zh-CN"/>
        </w:rPr>
        <w:t>J</w:t>
      </w:r>
      <w:r>
        <w:rPr>
          <w:rFonts w:hint="default" w:ascii="Times New Roman" w:hAnsi="Times New Roman" w:cs="Times New Roman" w:eastAsiaTheme="majorEastAsia"/>
          <w:color w:val="auto"/>
          <w:sz w:val="24"/>
          <w:szCs w:val="24"/>
        </w:rPr>
        <w:t xml:space="preserve">ournal of </w:t>
      </w:r>
      <w:r>
        <w:rPr>
          <w:rFonts w:hint="default" w:ascii="Times New Roman" w:hAnsi="Times New Roman" w:cs="Times New Roman" w:eastAsiaTheme="majorEastAsia"/>
          <w:color w:val="auto"/>
          <w:sz w:val="24"/>
          <w:szCs w:val="24"/>
          <w:lang w:val="en-US" w:eastAsia="zh-CN"/>
        </w:rPr>
        <w:t>U</w:t>
      </w:r>
      <w:r>
        <w:rPr>
          <w:rFonts w:hint="default" w:ascii="Times New Roman" w:hAnsi="Times New Roman" w:cs="Times New Roman" w:eastAsiaTheme="majorEastAsia"/>
          <w:color w:val="auto"/>
          <w:sz w:val="24"/>
          <w:szCs w:val="24"/>
        </w:rPr>
        <w:t>rology等世界泌尿外科权威杂志，并被《中国泌尿外科与男科疾病诊治指南》《欧洲泌尿外科指南》等国际权威指南引用。</w:t>
      </w:r>
    </w:p>
    <w:p w14:paraId="0BCA69CB">
      <w:pPr>
        <w:spacing w:line="360" w:lineRule="auto"/>
        <w:jc w:val="center"/>
        <w:rPr>
          <w:rFonts w:hint="default" w:ascii="Times New Roman" w:hAnsi="Times New Roman" w:cs="Times New Roman" w:eastAsiaTheme="majorEastAsia"/>
          <w:b/>
          <w:bCs/>
          <w:color w:val="auto"/>
          <w:sz w:val="24"/>
          <w:szCs w:val="24"/>
        </w:rPr>
      </w:pPr>
      <w:r>
        <w:rPr>
          <w:rFonts w:hint="default" w:ascii="Times New Roman" w:hAnsi="Times New Roman" w:cs="Times New Roman" w:eastAsiaTheme="majorEastAsia"/>
          <w:color w:val="auto"/>
          <w:sz w:val="24"/>
          <w:szCs w:val="24"/>
        </w:rPr>
        <w:drawing>
          <wp:inline distT="0" distB="0" distL="114300" distR="114300">
            <wp:extent cx="5273040" cy="2988310"/>
            <wp:effectExtent l="0" t="0" r="1016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5273040" cy="2988310"/>
                    </a:xfrm>
                    <a:prstGeom prst="rect">
                      <a:avLst/>
                    </a:prstGeom>
                    <a:noFill/>
                    <a:ln>
                      <a:noFill/>
                    </a:ln>
                  </pic:spPr>
                </pic:pic>
              </a:graphicData>
            </a:graphic>
          </wp:inline>
        </w:drawing>
      </w:r>
      <w:r>
        <w:rPr>
          <w:rFonts w:hint="default" w:ascii="Times New Roman" w:hAnsi="Times New Roman" w:cs="Times New Roman" w:eastAsiaTheme="majorEastAsia"/>
          <w:b/>
          <w:bCs/>
          <w:color w:val="auto"/>
          <w:sz w:val="24"/>
          <w:szCs w:val="24"/>
        </w:rPr>
        <w:t>手术前MRI                      手术后MRI</w:t>
      </w:r>
    </w:p>
    <w:p w14:paraId="6F4944BE">
      <w:pPr>
        <w:spacing w:line="360" w:lineRule="auto"/>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图</w:t>
      </w:r>
      <w:r>
        <w:rPr>
          <w:rFonts w:hint="default" w:ascii="Times New Roman" w:hAnsi="Times New Roman" w:cs="Times New Roman" w:eastAsiaTheme="majorEastAsia"/>
          <w:color w:val="auto"/>
          <w:sz w:val="24"/>
          <w:szCs w:val="24"/>
          <w:lang w:val="en-US" w:eastAsia="zh-CN"/>
        </w:rPr>
        <w:t>6.</w:t>
      </w:r>
      <w:r>
        <w:rPr>
          <w:rFonts w:hint="default" w:ascii="Times New Roman" w:hAnsi="Times New Roman" w:cs="Times New Roman" w:eastAsiaTheme="majorEastAsia"/>
          <w:color w:val="auto"/>
          <w:sz w:val="24"/>
          <w:szCs w:val="24"/>
        </w:rPr>
        <w:t xml:space="preserve"> 解剖性剜除法治疗超大前列腺增生</w:t>
      </w:r>
    </w:p>
    <w:p w14:paraId="552D17F0">
      <w:pPr>
        <w:spacing w:line="360" w:lineRule="auto"/>
        <w:jc w:val="both"/>
        <w:rPr>
          <w:rFonts w:hint="default" w:ascii="Times New Roman" w:hAnsi="Times New Roman" w:cs="Times New Roman" w:eastAsiaTheme="majorEastAsia"/>
          <w:b/>
          <w:bCs/>
          <w:color w:val="auto"/>
          <w:sz w:val="24"/>
          <w:szCs w:val="24"/>
        </w:rPr>
      </w:pPr>
      <w:r>
        <w:rPr>
          <w:rFonts w:hint="default" w:ascii="Times New Roman" w:hAnsi="Times New Roman" w:cs="Times New Roman" w:eastAsiaTheme="majorEastAsia"/>
          <w:b/>
          <w:bCs/>
          <w:color w:val="auto"/>
          <w:sz w:val="24"/>
          <w:szCs w:val="24"/>
          <w:lang w:val="en-US" w:eastAsia="zh-CN"/>
        </w:rPr>
        <w:t xml:space="preserve">② </w:t>
      </w:r>
      <w:r>
        <w:rPr>
          <w:rFonts w:hint="default" w:ascii="Times New Roman" w:hAnsi="Times New Roman" w:cs="Times New Roman" w:eastAsiaTheme="majorEastAsia"/>
          <w:b/>
          <w:bCs/>
          <w:color w:val="auto"/>
          <w:sz w:val="24"/>
          <w:szCs w:val="24"/>
        </w:rPr>
        <w:t>开展日间手术模式下双极等离子前列腺剜除术等多项国际首创临床新技术及模式，推动经尿道前列腺增生手术治疗进入“日间手术时代”</w:t>
      </w:r>
    </w:p>
    <w:p w14:paraId="3DFC2A01">
      <w:pPr>
        <w:spacing w:line="360" w:lineRule="auto"/>
        <w:ind w:firstLine="480" w:firstLineChars="200"/>
        <w:jc w:val="both"/>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经尿道前列腺微创手术是治疗良性前列腺增生最有效的治疗方法，但是因为前列腺位置深、血液循环丰富，并且与直肠关系紧密，术后并发症发生率较高，患者的一般住院时间较长，因此经济负担重。候选人带领团队在解剖性剜除法上进一步手术模式的创新，在国际上首次开展经尿道双极等离子、铥激光、蓝激光前列腺剜除术，在安徽省内率先开展前列腺增生日间手术模式，在保证患者手术安全前提下，使患者康复速度、住院费用及就医体验最大受益化。相关论文先被相关成果受邀在中国、韩国、国际日间手术年会及世界泌尿外科年会等国际学术会议报告，并发表论文发表在《中华泌尿外科杂志》《浙江大学学报（医学版）》《微创泌尿外科杂志》等权威杂志，并被《吴阶平泌尿外科学》等权威专著引用。</w:t>
      </w:r>
    </w:p>
    <w:p w14:paraId="0DE43DB6">
      <w:pPr>
        <w:spacing w:line="360" w:lineRule="auto"/>
        <w:jc w:val="both"/>
        <w:rPr>
          <w:rFonts w:hint="default" w:ascii="Times New Roman" w:hAnsi="Times New Roman" w:cs="Times New Roman" w:eastAsiaTheme="majorEastAsia"/>
          <w:b/>
          <w:bCs/>
          <w:color w:val="auto"/>
          <w:sz w:val="24"/>
          <w:szCs w:val="24"/>
        </w:rPr>
      </w:pPr>
      <w:r>
        <w:rPr>
          <w:rFonts w:hint="default" w:ascii="Times New Roman" w:hAnsi="Times New Roman" w:cs="Times New Roman" w:eastAsiaTheme="majorEastAsia"/>
          <w:b/>
          <w:bCs/>
          <w:color w:val="auto"/>
          <w:sz w:val="24"/>
          <w:szCs w:val="24"/>
          <w:lang w:val="en-US" w:eastAsia="zh-CN"/>
        </w:rPr>
        <w:t xml:space="preserve">③ </w:t>
      </w:r>
      <w:r>
        <w:rPr>
          <w:rFonts w:hint="default" w:ascii="Times New Roman" w:hAnsi="Times New Roman" w:cs="Times New Roman" w:eastAsiaTheme="majorEastAsia"/>
          <w:b/>
          <w:bCs/>
          <w:color w:val="auto"/>
          <w:sz w:val="24"/>
          <w:szCs w:val="24"/>
        </w:rPr>
        <w:t>首次提出了适合中国人群的“小口径激光电切镜”，并作为国家科技报道的重大科技成果落地转化</w:t>
      </w:r>
    </w:p>
    <w:p w14:paraId="08201E53">
      <w:pPr>
        <w:spacing w:line="360" w:lineRule="auto"/>
        <w:ind w:firstLine="480" w:firstLineChars="200"/>
        <w:jc w:val="both"/>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目前我国经尿道前列腺激光微创手术所使用的Fr26电切镜实际一直是根据欧美西方男性尿道的标准尺寸订制的，并不完全适合我们亚洲人经尿道条件。候选人带领项目组通过巧妙改变激光电切镜结构，在确保正常完成手术操作的前提下，缩小电切镜直径创造出适合中国人群“小口径激光电切镜”专利产品（图</w:t>
      </w:r>
      <w:r>
        <w:rPr>
          <w:rFonts w:hint="default" w:ascii="Times New Roman" w:hAnsi="Times New Roman" w:cs="Times New Roman" w:eastAsiaTheme="majorEastAsia"/>
          <w:color w:val="auto"/>
          <w:sz w:val="24"/>
          <w:szCs w:val="24"/>
          <w:lang w:val="en-US" w:eastAsia="zh-CN"/>
        </w:rPr>
        <w:t>7</w:t>
      </w:r>
      <w:r>
        <w:rPr>
          <w:rFonts w:hint="default" w:ascii="Times New Roman" w:hAnsi="Times New Roman" w:cs="Times New Roman" w:eastAsiaTheme="majorEastAsia"/>
          <w:color w:val="auto"/>
          <w:sz w:val="24"/>
          <w:szCs w:val="24"/>
        </w:rPr>
        <w:t>），有效地解决了以往因镜体过粗而导致的“尿道损伤”及“尿道狭窄”并发症，摆脱我国对于国外F26激光电切镜的依赖，实现电切镜医疗设备自主可控。该专利产品已获得了创新医疗器械注册证，在全国30余家医院推广应用。并作为拥有自主知识产权重大科技成果落地转化，被中华人民共和国科学技术部等权威媒体报道。</w:t>
      </w:r>
    </w:p>
    <w:p w14:paraId="53381A43">
      <w:pPr>
        <w:spacing w:line="360" w:lineRule="auto"/>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drawing>
          <wp:inline distT="0" distB="0" distL="114300" distR="114300">
            <wp:extent cx="1884045" cy="4000500"/>
            <wp:effectExtent l="0" t="0" r="0" b="8255"/>
            <wp:docPr id="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pic:cNvPicPr>
                      <a:picLocks noChangeAspect="1"/>
                    </pic:cNvPicPr>
                  </pic:nvPicPr>
                  <pic:blipFill>
                    <a:blip r:embed="rId11"/>
                    <a:stretch>
                      <a:fillRect/>
                    </a:stretch>
                  </pic:blipFill>
                  <pic:spPr>
                    <a:xfrm rot="16200000" flipH="1">
                      <a:off x="0" y="0"/>
                      <a:ext cx="1884045" cy="4000500"/>
                    </a:xfrm>
                    <a:prstGeom prst="rect">
                      <a:avLst/>
                    </a:prstGeom>
                  </pic:spPr>
                </pic:pic>
              </a:graphicData>
            </a:graphic>
          </wp:inline>
        </w:drawing>
      </w:r>
    </w:p>
    <w:p w14:paraId="15ABC0C3">
      <w:pPr>
        <w:spacing w:line="360" w:lineRule="auto"/>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图</w:t>
      </w:r>
      <w:r>
        <w:rPr>
          <w:rFonts w:hint="default" w:ascii="Times New Roman" w:hAnsi="Times New Roman" w:cs="Times New Roman" w:eastAsiaTheme="majorEastAsia"/>
          <w:color w:val="auto"/>
          <w:sz w:val="24"/>
          <w:szCs w:val="24"/>
          <w:lang w:val="en-US" w:eastAsia="zh-CN"/>
        </w:rPr>
        <w:t>7.</w:t>
      </w:r>
      <w:r>
        <w:rPr>
          <w:rFonts w:hint="default" w:ascii="Times New Roman" w:hAnsi="Times New Roman" w:cs="Times New Roman" w:eastAsiaTheme="majorEastAsia"/>
          <w:color w:val="auto"/>
          <w:sz w:val="24"/>
          <w:szCs w:val="24"/>
        </w:rPr>
        <w:t xml:space="preserve"> 小口径激光电切镜</w:t>
      </w:r>
    </w:p>
    <w:p w14:paraId="5593496D">
      <w:pPr>
        <w:spacing w:line="360" w:lineRule="auto"/>
        <w:rPr>
          <w:rFonts w:hint="default" w:ascii="Times New Roman" w:hAnsi="Times New Roman" w:cs="Times New Roman" w:eastAsiaTheme="majorEastAsia"/>
          <w:b w:val="0"/>
          <w:bCs w:val="0"/>
          <w:color w:val="auto"/>
          <w:sz w:val="24"/>
          <w:szCs w:val="24"/>
        </w:rPr>
      </w:pPr>
      <w:bookmarkStart w:id="1" w:name="OLE_LINK3"/>
      <w:r>
        <w:rPr>
          <w:rFonts w:hint="default" w:ascii="Times New Roman" w:hAnsi="Times New Roman" w:cs="Times New Roman" w:eastAsiaTheme="majorEastAsia"/>
          <w:b w:val="0"/>
          <w:bCs w:val="0"/>
          <w:color w:val="auto"/>
          <w:sz w:val="24"/>
          <w:szCs w:val="24"/>
          <w:lang w:eastAsia="zh-CN"/>
        </w:rPr>
        <w:t>（</w:t>
      </w:r>
      <w:r>
        <w:rPr>
          <w:rFonts w:hint="default" w:ascii="Times New Roman" w:hAnsi="Times New Roman" w:cs="Times New Roman" w:eastAsiaTheme="majorEastAsia"/>
          <w:b w:val="0"/>
          <w:bCs w:val="0"/>
          <w:color w:val="auto"/>
          <w:sz w:val="24"/>
          <w:szCs w:val="24"/>
          <w:lang w:val="en-US" w:eastAsia="zh-CN"/>
        </w:rPr>
        <w:t>3</w:t>
      </w:r>
      <w:r>
        <w:rPr>
          <w:rFonts w:hint="default" w:ascii="Times New Roman" w:hAnsi="Times New Roman" w:cs="Times New Roman" w:eastAsiaTheme="majorEastAsia"/>
          <w:b w:val="0"/>
          <w:bCs w:val="0"/>
          <w:color w:val="auto"/>
          <w:sz w:val="24"/>
          <w:szCs w:val="24"/>
          <w:lang w:eastAsia="zh-CN"/>
        </w:rPr>
        <w:t>）聚焦信号通路联动与精准干预的CRPC发病机制解析与联合治疗策略创新</w:t>
      </w:r>
      <w:r>
        <w:rPr>
          <w:rFonts w:hint="eastAsia" w:ascii="Times New Roman" w:hAnsi="Times New Roman" w:cs="Times New Roman" w:eastAsiaTheme="majorEastAsia"/>
          <w:b w:val="0"/>
          <w:bCs w:val="0"/>
          <w:color w:val="auto"/>
          <w:sz w:val="24"/>
          <w:szCs w:val="24"/>
          <w:lang w:eastAsia="zh-CN"/>
        </w:rPr>
        <w:t>。</w:t>
      </w:r>
      <w:r>
        <w:rPr>
          <w:rFonts w:hint="default" w:ascii="Times New Roman" w:hAnsi="Times New Roman" w:cs="Times New Roman" w:eastAsiaTheme="majorEastAsia"/>
          <w:b w:val="0"/>
          <w:bCs w:val="0"/>
          <w:color w:val="auto"/>
          <w:sz w:val="24"/>
          <w:szCs w:val="24"/>
        </w:rPr>
        <w:t>前列腺癌是我国男性泌尿生殖系统第一位高发恶性肿瘤。雄激素受体（AR）信号通路异常激活是CRPC主要的进展驱动因素和治疗靶点，其他信号通路对CRPC进展也至关重要。因此，寻找联合作用于多条信号通路的干预手段可望有效提升CRPC治疗效果。本项目专注于研究CRPC的病程进展和治疗抵抗的分子调控机制，同时致力于探索针对CRPC的联合治疗新策略。项目研究成果于相关专业领域权威期刊</w:t>
      </w:r>
      <w:r>
        <w:rPr>
          <w:rFonts w:hint="default" w:ascii="Times New Roman" w:hAnsi="Times New Roman" w:cs="Times New Roman" w:eastAsiaTheme="majorEastAsia"/>
          <w:b w:val="0"/>
          <w:bCs w:val="0"/>
          <w:color w:val="auto"/>
          <w:sz w:val="24"/>
          <w:szCs w:val="24"/>
          <w:lang w:val="en-US" w:eastAsia="zh-CN"/>
        </w:rPr>
        <w:t>Cancer Cell、</w:t>
      </w:r>
      <w:r>
        <w:rPr>
          <w:rFonts w:hint="default" w:ascii="Times New Roman" w:hAnsi="Times New Roman" w:cs="Times New Roman" w:eastAsiaTheme="majorEastAsia"/>
          <w:b w:val="0"/>
          <w:bCs w:val="0"/>
          <w:color w:val="auto"/>
          <w:sz w:val="24"/>
          <w:szCs w:val="24"/>
        </w:rPr>
        <w:t>Molecular Cancer、Materials Horizons、Cancer Letters、Cell Death &amp; Disease等发表。被权威期刊Nature、Drug Resistance Updates等</w:t>
      </w:r>
      <w:r>
        <w:rPr>
          <w:rFonts w:hint="default" w:ascii="Times New Roman" w:hAnsi="Times New Roman" w:cs="Times New Roman" w:eastAsiaTheme="majorEastAsia"/>
          <w:b w:val="0"/>
          <w:bCs w:val="0"/>
          <w:color w:val="auto"/>
          <w:sz w:val="24"/>
          <w:szCs w:val="24"/>
          <w:lang w:val="en-US" w:eastAsia="zh-CN"/>
        </w:rPr>
        <w:t>业内顶级杂志</w:t>
      </w:r>
      <w:r>
        <w:rPr>
          <w:rFonts w:hint="default" w:ascii="Times New Roman" w:hAnsi="Times New Roman" w:cs="Times New Roman" w:eastAsiaTheme="majorEastAsia"/>
          <w:b w:val="0"/>
          <w:bCs w:val="0"/>
          <w:color w:val="auto"/>
          <w:sz w:val="24"/>
          <w:szCs w:val="24"/>
        </w:rPr>
        <w:t>正面</w:t>
      </w:r>
      <w:r>
        <w:rPr>
          <w:rFonts w:hint="default" w:ascii="Times New Roman" w:hAnsi="Times New Roman" w:cs="Times New Roman" w:eastAsiaTheme="majorEastAsia"/>
          <w:b w:val="0"/>
          <w:bCs w:val="0"/>
          <w:color w:val="auto"/>
          <w:sz w:val="24"/>
          <w:szCs w:val="24"/>
          <w:lang w:val="en-US" w:eastAsia="zh-CN"/>
        </w:rPr>
        <w:t>引用</w:t>
      </w:r>
      <w:r>
        <w:rPr>
          <w:rFonts w:hint="default" w:ascii="Times New Roman" w:hAnsi="Times New Roman" w:cs="Times New Roman" w:eastAsiaTheme="majorEastAsia"/>
          <w:b w:val="0"/>
          <w:bCs w:val="0"/>
          <w:color w:val="auto"/>
          <w:sz w:val="24"/>
          <w:szCs w:val="24"/>
        </w:rPr>
        <w:t>。</w:t>
      </w:r>
    </w:p>
    <w:p w14:paraId="7FF7D903">
      <w:pPr>
        <w:spacing w:line="360" w:lineRule="auto"/>
        <w:rPr>
          <w:rFonts w:hint="default" w:ascii="Times New Roman" w:hAnsi="Times New Roman" w:cs="Times New Roman" w:eastAsiaTheme="majorEastAsia"/>
          <w:b w:val="0"/>
          <w:bCs w:val="0"/>
          <w:color w:val="auto"/>
          <w:sz w:val="24"/>
          <w:szCs w:val="24"/>
        </w:rPr>
      </w:pPr>
      <w:r>
        <w:rPr>
          <w:rFonts w:hint="default" w:ascii="Times New Roman" w:hAnsi="Times New Roman" w:cs="Times New Roman" w:eastAsiaTheme="majorEastAsia"/>
          <w:b w:val="0"/>
          <w:bCs w:val="0"/>
          <w:color w:val="auto"/>
          <w:sz w:val="24"/>
          <w:szCs w:val="24"/>
          <w:lang w:val="en-US" w:eastAsia="zh-CN"/>
        </w:rPr>
        <w:t xml:space="preserve">① </w:t>
      </w:r>
      <w:r>
        <w:rPr>
          <w:rFonts w:hint="default" w:ascii="Times New Roman" w:hAnsi="Times New Roman" w:cs="Times New Roman" w:eastAsiaTheme="majorEastAsia"/>
          <w:b w:val="0"/>
          <w:bCs w:val="0"/>
          <w:color w:val="auto"/>
          <w:sz w:val="24"/>
          <w:szCs w:val="24"/>
        </w:rPr>
        <w:t>建立并推广前列腺癌多组学分型体系，推动个体化治疗与预后精准评估</w:t>
      </w:r>
    </w:p>
    <w:p w14:paraId="6C516A52">
      <w:pPr>
        <w:spacing w:line="360" w:lineRule="auto"/>
        <w:ind w:firstLine="480" w:firstLineChars="200"/>
        <w:rPr>
          <w:rFonts w:hint="default" w:ascii="Times New Roman" w:hAnsi="Times New Roman" w:cs="Times New Roman" w:eastAsiaTheme="majorEastAsia"/>
          <w:b w:val="0"/>
          <w:bCs w:val="0"/>
          <w:color w:val="auto"/>
          <w:sz w:val="24"/>
          <w:szCs w:val="24"/>
        </w:rPr>
      </w:pPr>
      <w:r>
        <w:rPr>
          <w:rFonts w:hint="default" w:ascii="Times New Roman" w:hAnsi="Times New Roman" w:cs="Times New Roman" w:eastAsiaTheme="majorEastAsia"/>
          <w:b w:val="0"/>
          <w:bCs w:val="0"/>
          <w:color w:val="auto"/>
          <w:sz w:val="24"/>
          <w:szCs w:val="24"/>
        </w:rPr>
        <w:t>团队构建了以多组学数据为基础的前列腺癌分型体系，深入探讨分型在治疗决策和预后评估中的临床价值。研究发现，免疫评分高的患者往往预后较差，但可能更有益于抗PD-1/PD-L1治疗。基于转录组、突变组、表观组等多维数据，建立了“前列腺癌多组学分型系统（PMOC）”，成功识别多个生物学特征明确、治疗响应特异的亚型，提升了临床分层治疗的精度</w:t>
      </w:r>
      <w:r>
        <w:rPr>
          <w:rFonts w:hint="default" w:ascii="Times New Roman" w:hAnsi="Times New Roman" w:cs="Times New Roman" w:eastAsiaTheme="majorEastAsia"/>
          <w:b w:val="0"/>
          <w:bCs w:val="0"/>
          <w:color w:val="auto"/>
          <w:sz w:val="24"/>
          <w:szCs w:val="24"/>
          <w:lang w:eastAsia="zh-CN"/>
        </w:rPr>
        <w:t>（</w:t>
      </w:r>
      <w:r>
        <w:rPr>
          <w:rFonts w:hint="default" w:ascii="Times New Roman" w:hAnsi="Times New Roman" w:cs="Times New Roman" w:eastAsiaTheme="majorEastAsia"/>
          <w:b w:val="0"/>
          <w:bCs w:val="0"/>
          <w:color w:val="auto"/>
          <w:sz w:val="24"/>
          <w:szCs w:val="24"/>
          <w:lang w:val="en-US" w:eastAsia="zh-CN"/>
        </w:rPr>
        <w:t>图8</w:t>
      </w:r>
      <w:r>
        <w:rPr>
          <w:rFonts w:hint="default" w:ascii="Times New Roman" w:hAnsi="Times New Roman" w:cs="Times New Roman" w:eastAsiaTheme="majorEastAsia"/>
          <w:b w:val="0"/>
          <w:bCs w:val="0"/>
          <w:color w:val="auto"/>
          <w:sz w:val="24"/>
          <w:szCs w:val="24"/>
          <w:lang w:eastAsia="zh-CN"/>
        </w:rPr>
        <w:t>）</w:t>
      </w:r>
      <w:r>
        <w:rPr>
          <w:rFonts w:hint="default" w:ascii="Times New Roman" w:hAnsi="Times New Roman" w:cs="Times New Roman" w:eastAsiaTheme="majorEastAsia"/>
          <w:b w:val="0"/>
          <w:bCs w:val="0"/>
          <w:color w:val="auto"/>
          <w:sz w:val="24"/>
          <w:szCs w:val="24"/>
        </w:rPr>
        <w:t>。同时，团队开发出基于特定基因表达特征的复发风险预测分类器（如PCSCGier），该分类器在多个独立前列腺癌队列中验证了良好的预测准确性与稳定性，有效提升患者预后评估能力。研究成果发表于Cancer Med 2019、Clin Transl Med 2021/2023、J Cell Mol Med 2022、Commun Biol 2022等期刊，并获得国家发明专利授权（ZL 2019 1 0680169.9、ZL 2020 1 1414615.0、ZL 2020 1 1407244.3），具备广泛的临床推广与产业化前景。</w:t>
      </w:r>
    </w:p>
    <w:p w14:paraId="77A4C4C8">
      <w:pPr>
        <w:spacing w:before="156" w:beforeLines="50" w:line="360" w:lineRule="auto"/>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drawing>
          <wp:inline distT="0" distB="0" distL="0" distR="0">
            <wp:extent cx="5243830" cy="3963035"/>
            <wp:effectExtent l="0" t="0" r="127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43830" cy="3963035"/>
                    </a:xfrm>
                    <a:prstGeom prst="rect">
                      <a:avLst/>
                    </a:prstGeom>
                    <a:noFill/>
                    <a:ln>
                      <a:noFill/>
                    </a:ln>
                  </pic:spPr>
                </pic:pic>
              </a:graphicData>
            </a:graphic>
          </wp:inline>
        </w:drawing>
      </w:r>
    </w:p>
    <w:p w14:paraId="68542988">
      <w:pPr>
        <w:spacing w:before="156" w:beforeLines="50" w:line="360" w:lineRule="auto"/>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t>图</w:t>
      </w:r>
      <w:r>
        <w:rPr>
          <w:rFonts w:hint="default" w:ascii="Times New Roman" w:hAnsi="Times New Roman" w:cs="Times New Roman" w:eastAsiaTheme="majorEastAsia"/>
          <w:color w:val="auto"/>
          <w:sz w:val="24"/>
          <w:szCs w:val="24"/>
          <w:lang w:val="en-US" w:eastAsia="zh-CN"/>
        </w:rPr>
        <w:t>8</w:t>
      </w:r>
      <w:r>
        <w:rPr>
          <w:rFonts w:hint="default" w:ascii="Times New Roman" w:hAnsi="Times New Roman" w:cs="Times New Roman" w:eastAsiaTheme="majorEastAsia"/>
          <w:color w:val="auto"/>
          <w:sz w:val="24"/>
          <w:szCs w:val="24"/>
        </w:rPr>
        <w:t>. 基于多组学数据，构建出前列腺癌PMOC分类</w:t>
      </w:r>
    </w:p>
    <w:p w14:paraId="5D2327D1">
      <w:pPr>
        <w:spacing w:line="360" w:lineRule="auto"/>
        <w:rPr>
          <w:rFonts w:hint="default" w:ascii="Times New Roman" w:hAnsi="Times New Roman" w:cs="Times New Roman" w:eastAsiaTheme="majorEastAsia"/>
          <w:b w:val="0"/>
          <w:bCs w:val="0"/>
          <w:color w:val="auto"/>
          <w:sz w:val="24"/>
          <w:szCs w:val="24"/>
        </w:rPr>
      </w:pPr>
      <w:r>
        <w:rPr>
          <w:rFonts w:hint="default" w:ascii="Times New Roman" w:hAnsi="Times New Roman" w:cs="Times New Roman" w:eastAsiaTheme="majorEastAsia"/>
          <w:b w:val="0"/>
          <w:bCs w:val="0"/>
          <w:color w:val="auto"/>
          <w:sz w:val="24"/>
          <w:szCs w:val="24"/>
          <w:lang w:val="en-US" w:eastAsia="zh-CN"/>
        </w:rPr>
        <w:t xml:space="preserve">② </w:t>
      </w:r>
      <w:r>
        <w:rPr>
          <w:rFonts w:hint="default" w:ascii="Times New Roman" w:hAnsi="Times New Roman" w:cs="Times New Roman" w:eastAsiaTheme="majorEastAsia"/>
          <w:b w:val="0"/>
          <w:bCs w:val="0"/>
          <w:color w:val="auto"/>
          <w:sz w:val="24"/>
          <w:szCs w:val="24"/>
        </w:rPr>
        <w:t>揭示STAT3信号通路在突变型p53驱动前列腺癌免疫抑制与进展中作用机制</w:t>
      </w:r>
    </w:p>
    <w:p w14:paraId="7CF4A5C4">
      <w:pPr>
        <w:spacing w:line="360" w:lineRule="auto"/>
        <w:ind w:firstLine="480" w:firstLineChars="200"/>
        <w:rPr>
          <w:rFonts w:hint="default" w:ascii="Times New Roman" w:hAnsi="Times New Roman" w:cs="Times New Roman" w:eastAsiaTheme="majorEastAsia"/>
          <w:b w:val="0"/>
          <w:bCs w:val="0"/>
          <w:color w:val="auto"/>
          <w:sz w:val="24"/>
          <w:szCs w:val="24"/>
        </w:rPr>
      </w:pPr>
      <w:r>
        <w:rPr>
          <w:rFonts w:hint="default" w:ascii="Times New Roman" w:hAnsi="Times New Roman" w:cs="Times New Roman" w:eastAsiaTheme="majorEastAsia"/>
          <w:b w:val="0"/>
          <w:bCs w:val="0"/>
          <w:color w:val="auto"/>
          <w:sz w:val="24"/>
          <w:szCs w:val="24"/>
        </w:rPr>
        <w:t>基于前列腺癌分子分型数据，项目发现</w:t>
      </w:r>
      <w:r>
        <w:rPr>
          <w:rFonts w:hint="default" w:ascii="Times New Roman" w:hAnsi="Times New Roman" w:cs="Times New Roman" w:eastAsiaTheme="majorEastAsia"/>
          <w:b w:val="0"/>
          <w:bCs w:val="0"/>
          <w:i/>
          <w:iCs/>
          <w:color w:val="auto"/>
          <w:sz w:val="24"/>
          <w:szCs w:val="24"/>
        </w:rPr>
        <w:t>TP53</w:t>
      </w:r>
      <w:r>
        <w:rPr>
          <w:rFonts w:hint="default" w:ascii="Times New Roman" w:hAnsi="Times New Roman" w:cs="Times New Roman" w:eastAsiaTheme="majorEastAsia"/>
          <w:b w:val="0"/>
          <w:bCs w:val="0"/>
          <w:color w:val="auto"/>
          <w:sz w:val="24"/>
          <w:szCs w:val="24"/>
        </w:rPr>
        <w:t>基因突变与抑制性肿瘤免疫微环境密切相关，但该机制长期缺乏体内外实验证据支持。研究采用CRISPR/Cas9技术构建含</w:t>
      </w:r>
      <w:r>
        <w:rPr>
          <w:rFonts w:hint="default" w:ascii="Times New Roman" w:hAnsi="Times New Roman" w:cs="Times New Roman" w:eastAsiaTheme="majorEastAsia"/>
          <w:b w:val="0"/>
          <w:bCs w:val="0"/>
          <w:i/>
          <w:iCs/>
          <w:color w:val="auto"/>
          <w:sz w:val="24"/>
          <w:szCs w:val="24"/>
        </w:rPr>
        <w:t xml:space="preserve">Trp53 </w:t>
      </w:r>
      <w:r>
        <w:rPr>
          <w:rFonts w:hint="default" w:ascii="Times New Roman" w:hAnsi="Times New Roman" w:cs="Times New Roman" w:eastAsiaTheme="majorEastAsia"/>
          <w:b w:val="0"/>
          <w:bCs w:val="0"/>
          <w:color w:val="auto"/>
          <w:sz w:val="24"/>
          <w:szCs w:val="24"/>
        </w:rPr>
        <w:t>R245Q突变的小鼠RM-1前列腺癌细胞株，并通过系列实验首次证实：mutp53可显著增强肿瘤细胞增殖和侵袭能力，促进肿瘤进展。机制上，mutp53与磷酸化STAT3（p-STAT3）结合增强，干扰蛋白酪氨酸磷酸酶1（SHP-1）活性，减少对p-STAT3的去磷酸化，导致STAT3信号通路持续激活，进而形成免疫抑制性肿瘤微环境，助推肿瘤演进</w:t>
      </w:r>
      <w:r>
        <w:rPr>
          <w:rFonts w:hint="default" w:ascii="Times New Roman" w:hAnsi="Times New Roman" w:cs="Times New Roman" w:eastAsiaTheme="majorEastAsia"/>
          <w:b w:val="0"/>
          <w:bCs w:val="0"/>
          <w:color w:val="auto"/>
          <w:sz w:val="24"/>
          <w:szCs w:val="24"/>
          <w:lang w:val="en-US" w:eastAsia="zh-CN"/>
        </w:rPr>
        <w:t>（Int J Biol Sci. 2025 Apr 22;21(7):3081-3098. 图9）</w:t>
      </w:r>
      <w:r>
        <w:rPr>
          <w:rFonts w:hint="default" w:ascii="Times New Roman" w:hAnsi="Times New Roman" w:cs="Times New Roman" w:eastAsiaTheme="majorEastAsia"/>
          <w:b w:val="0"/>
          <w:bCs w:val="0"/>
          <w:color w:val="auto"/>
          <w:sz w:val="24"/>
          <w:szCs w:val="24"/>
        </w:rPr>
        <w:t>。该研究不仅加深了对前列腺癌免疫逃逸和进展机制的理解，也为STAT3抑制剂在突变型TP53背景下的治疗应用提供了明确的理论依据和靶向方向（Mol Oncol 2021）。</w:t>
      </w:r>
    </w:p>
    <w:p w14:paraId="20FEF403">
      <w:pPr>
        <w:spacing w:line="360" w:lineRule="auto"/>
        <w:jc w:val="center"/>
        <w:rPr>
          <w:rFonts w:hint="default" w:ascii="Times New Roman" w:hAnsi="Times New Roman" w:cs="Times New Roman" w:eastAsiaTheme="majorEastAsia"/>
          <w:b w:val="0"/>
          <w:bCs w:val="0"/>
          <w:color w:val="auto"/>
          <w:sz w:val="24"/>
          <w:szCs w:val="24"/>
          <w:lang w:eastAsia="zh-CN"/>
        </w:rPr>
      </w:pPr>
      <w:r>
        <w:rPr>
          <w:rFonts w:hint="default" w:ascii="Times New Roman" w:hAnsi="Times New Roman" w:cs="Times New Roman" w:eastAsiaTheme="majorEastAsia"/>
          <w:b w:val="0"/>
          <w:bCs w:val="0"/>
          <w:color w:val="auto"/>
          <w:sz w:val="24"/>
          <w:szCs w:val="24"/>
          <w:lang w:eastAsia="zh-CN"/>
        </w:rPr>
        <w:drawing>
          <wp:inline distT="0" distB="0" distL="114300" distR="114300">
            <wp:extent cx="4136390" cy="4601845"/>
            <wp:effectExtent l="0" t="0" r="3810" b="8255"/>
            <wp:docPr id="8" name="图片 8" descr="Graphic abstrac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Graphic abstract_00"/>
                    <pic:cNvPicPr>
                      <a:picLocks noChangeAspect="1"/>
                    </pic:cNvPicPr>
                  </pic:nvPicPr>
                  <pic:blipFill>
                    <a:blip r:embed="rId13"/>
                    <a:stretch>
                      <a:fillRect/>
                    </a:stretch>
                  </pic:blipFill>
                  <pic:spPr>
                    <a:xfrm>
                      <a:off x="0" y="0"/>
                      <a:ext cx="4136390" cy="4601845"/>
                    </a:xfrm>
                    <a:prstGeom prst="rect">
                      <a:avLst/>
                    </a:prstGeom>
                  </pic:spPr>
                </pic:pic>
              </a:graphicData>
            </a:graphic>
          </wp:inline>
        </w:drawing>
      </w:r>
    </w:p>
    <w:p w14:paraId="1BA12B3B">
      <w:pPr>
        <w:spacing w:line="360" w:lineRule="auto"/>
        <w:jc w:val="center"/>
        <w:rPr>
          <w:rFonts w:hint="default" w:ascii="Times New Roman" w:hAnsi="Times New Roman" w:cs="Times New Roman" w:eastAsiaTheme="majorEastAsia"/>
          <w:b w:val="0"/>
          <w:bCs w:val="0"/>
          <w:color w:val="auto"/>
          <w:sz w:val="24"/>
          <w:szCs w:val="24"/>
          <w:lang w:val="en-US" w:eastAsia="zh-CN"/>
        </w:rPr>
      </w:pPr>
      <w:r>
        <w:rPr>
          <w:rFonts w:hint="default" w:ascii="Times New Roman" w:hAnsi="Times New Roman" w:cs="Times New Roman" w:eastAsiaTheme="majorEastAsia"/>
          <w:b w:val="0"/>
          <w:bCs w:val="0"/>
          <w:color w:val="auto"/>
          <w:sz w:val="24"/>
          <w:szCs w:val="24"/>
          <w:lang w:val="en-US" w:eastAsia="zh-CN"/>
        </w:rPr>
        <w:t>图9. Mutp53介导抑制性肿瘤免疫微环境形成促进CRPC进展机制图</w:t>
      </w:r>
      <w:r>
        <w:rPr>
          <w:rFonts w:hint="default" w:ascii="Times New Roman" w:hAnsi="Times New Roman" w:cs="Times New Roman" w:eastAsiaTheme="majorEastAsia"/>
          <w:b w:val="0"/>
          <w:bCs w:val="0"/>
          <w:color w:val="auto"/>
          <w:sz w:val="24"/>
          <w:szCs w:val="24"/>
          <w:lang w:eastAsia="zh-CN"/>
        </w:rPr>
        <w:t>。</w:t>
      </w:r>
    </w:p>
    <w:p w14:paraId="5D42CE51">
      <w:pPr>
        <w:spacing w:line="360" w:lineRule="auto"/>
        <w:rPr>
          <w:rFonts w:hint="default" w:ascii="Times New Roman" w:hAnsi="Times New Roman" w:cs="Times New Roman" w:eastAsiaTheme="majorEastAsia"/>
          <w:b w:val="0"/>
          <w:bCs w:val="0"/>
          <w:color w:val="auto"/>
          <w:sz w:val="24"/>
          <w:szCs w:val="24"/>
          <w:lang w:eastAsia="zh-CN"/>
        </w:rPr>
      </w:pPr>
      <w:r>
        <w:rPr>
          <w:rFonts w:hint="default" w:ascii="Times New Roman" w:hAnsi="Times New Roman" w:cs="Times New Roman" w:eastAsiaTheme="majorEastAsia"/>
          <w:b w:val="0"/>
          <w:bCs w:val="0"/>
          <w:color w:val="auto"/>
          <w:sz w:val="24"/>
          <w:szCs w:val="24"/>
          <w:lang w:val="en-US" w:eastAsia="zh-CN"/>
        </w:rPr>
        <w:t xml:space="preserve">③ </w:t>
      </w:r>
      <w:r>
        <w:rPr>
          <w:rFonts w:hint="default" w:ascii="Times New Roman" w:hAnsi="Times New Roman" w:cs="Times New Roman" w:eastAsiaTheme="majorEastAsia"/>
          <w:b w:val="0"/>
          <w:bCs w:val="0"/>
          <w:color w:val="auto"/>
          <w:sz w:val="24"/>
          <w:szCs w:val="24"/>
          <w:lang w:eastAsia="zh-CN"/>
        </w:rPr>
        <w:t>揭示CRPC关键信号通路调控机制，构建多维度联合治疗新策略</w:t>
      </w:r>
    </w:p>
    <w:p w14:paraId="4EF992BB">
      <w:pPr>
        <w:spacing w:line="360" w:lineRule="auto"/>
        <w:ind w:firstLine="480" w:firstLineChars="200"/>
        <w:rPr>
          <w:rFonts w:hint="default" w:ascii="Times New Roman" w:hAnsi="Times New Roman" w:cs="Times New Roman" w:eastAsiaTheme="majorEastAsia"/>
          <w:b w:val="0"/>
          <w:bCs w:val="0"/>
          <w:color w:val="auto"/>
          <w:sz w:val="24"/>
          <w:szCs w:val="24"/>
          <w:lang w:eastAsia="zh-CN"/>
        </w:rPr>
      </w:pPr>
      <w:r>
        <w:rPr>
          <w:rFonts w:hint="default" w:ascii="Times New Roman" w:hAnsi="Times New Roman" w:cs="Times New Roman" w:eastAsiaTheme="majorEastAsia"/>
          <w:b w:val="0"/>
          <w:bCs w:val="0"/>
          <w:color w:val="auto"/>
          <w:sz w:val="24"/>
          <w:szCs w:val="24"/>
          <w:lang w:eastAsia="zh-CN"/>
        </w:rPr>
        <w:t>研究发现，N-Myc蛋白在前列腺癌进展中持续升高，促进肿瘤细胞增殖、转移及神经内分泌表型形成，其表达水平与骨转移、TNM分期及突变型p53密切相关。在雄激素依赖阶段，N-Myc通过上调miR-421抑制ATM表达，逆转ADT诱导的细胞衰老，推动肿瘤向CRPC转化；在CRPC阶段，N-Myc下调miR-421，促进ATM表达，进一步增强细胞迁移与耐药能力</w:t>
      </w:r>
      <w:r>
        <w:rPr>
          <w:rFonts w:hint="eastAsia" w:ascii="Times New Roman" w:hAnsi="Times New Roman" w:cs="Times New Roman" w:eastAsiaTheme="majorEastAsia"/>
          <w:b w:val="0"/>
          <w:bCs w:val="0"/>
          <w:color w:val="auto"/>
          <w:sz w:val="24"/>
          <w:szCs w:val="24"/>
          <w:lang w:eastAsia="zh-CN"/>
        </w:rPr>
        <w:t>（Mol Cancer. 2019 Jan 18;18:11.）</w:t>
      </w:r>
      <w:r>
        <w:rPr>
          <w:rFonts w:hint="default" w:ascii="Times New Roman" w:hAnsi="Times New Roman" w:cs="Times New Roman" w:eastAsiaTheme="majorEastAsia"/>
          <w:b w:val="0"/>
          <w:bCs w:val="0"/>
          <w:color w:val="auto"/>
          <w:sz w:val="24"/>
          <w:szCs w:val="24"/>
          <w:lang w:eastAsia="zh-CN"/>
        </w:rPr>
        <w:t>。基于上述机制，研究团队设计构建了纳米砷烯载药系统，主动靶向ATM，提升CRPC细胞对阿霉素等药物的敏感性，并通过耗竭谷胱甘肽、抑制GPX4活性等方式，实现铁死亡与凋亡协同杀伤，形成双机制抗肿瘤策略。该研究成果发表于《Materials Horizons》，为最后通讯作者署名，内封底重点报道</w:t>
      </w:r>
      <w:r>
        <w:rPr>
          <w:rFonts w:hint="eastAsia" w:ascii="Times New Roman" w:hAnsi="Times New Roman" w:cs="Times New Roman" w:eastAsiaTheme="majorEastAsia"/>
          <w:b w:val="0"/>
          <w:bCs w:val="0"/>
          <w:color w:val="auto"/>
          <w:sz w:val="24"/>
          <w:szCs w:val="24"/>
          <w:lang w:eastAsia="zh-CN"/>
        </w:rPr>
        <w:t>（Mater Horiz. 2021 Aug 1;8:2216-2229.）</w:t>
      </w:r>
      <w:r>
        <w:rPr>
          <w:rFonts w:hint="default" w:ascii="Times New Roman" w:hAnsi="Times New Roman" w:cs="Times New Roman" w:eastAsiaTheme="majorEastAsia"/>
          <w:b w:val="0"/>
          <w:bCs w:val="0"/>
          <w:color w:val="auto"/>
          <w:sz w:val="24"/>
          <w:szCs w:val="24"/>
          <w:lang w:eastAsia="zh-CN"/>
        </w:rPr>
        <w:t>。</w:t>
      </w:r>
    </w:p>
    <w:p w14:paraId="379F3268">
      <w:pPr>
        <w:spacing w:line="360" w:lineRule="auto"/>
        <w:ind w:firstLine="480" w:firstLineChars="200"/>
        <w:rPr>
          <w:rFonts w:hint="default" w:ascii="Times New Roman" w:hAnsi="Times New Roman" w:cs="Times New Roman" w:eastAsiaTheme="majorEastAsia"/>
          <w:b w:val="0"/>
          <w:bCs w:val="0"/>
          <w:color w:val="auto"/>
          <w:sz w:val="24"/>
          <w:szCs w:val="24"/>
          <w:lang w:eastAsia="zh-CN"/>
        </w:rPr>
      </w:pPr>
      <w:r>
        <w:rPr>
          <w:rFonts w:hint="default" w:ascii="Times New Roman" w:hAnsi="Times New Roman" w:cs="Times New Roman" w:eastAsiaTheme="majorEastAsia"/>
          <w:b w:val="0"/>
          <w:bCs w:val="0"/>
          <w:color w:val="auto"/>
          <w:sz w:val="24"/>
          <w:szCs w:val="24"/>
          <w:lang w:eastAsia="zh-CN"/>
        </w:rPr>
        <w:t xml:space="preserve">同时，提出“微磁体植入”新型治疗策略，将“粒子植入”技术与铁磁靶向理念融合，构建高滞留性的铁氧体纳米系统。该系统可在肿瘤局部诱导铁死亡，激活cGAS-STING通路，引发免疫原性细胞死亡，实现在肿瘤微环境中联合免疫-化疗协同治疗，突破传统分子靶向效率低、定位难等瓶颈。研究成果发表于《Small》，为共同通讯作者并获卷首插图推荐（Small. 2023 Jun;19:e2207077. </w:t>
      </w:r>
      <w:r>
        <w:rPr>
          <w:rFonts w:hint="default" w:ascii="Times New Roman" w:hAnsi="Times New Roman" w:cs="Times New Roman" w:eastAsiaTheme="majorEastAsia"/>
          <w:b w:val="0"/>
          <w:bCs w:val="0"/>
          <w:color w:val="auto"/>
          <w:sz w:val="24"/>
          <w:szCs w:val="24"/>
          <w:lang w:val="en-US" w:eastAsia="zh-CN"/>
        </w:rPr>
        <w:t>图10</w:t>
      </w:r>
      <w:r>
        <w:rPr>
          <w:rFonts w:hint="default" w:ascii="Times New Roman" w:hAnsi="Times New Roman" w:cs="Times New Roman" w:eastAsiaTheme="majorEastAsia"/>
          <w:b w:val="0"/>
          <w:bCs w:val="0"/>
          <w:color w:val="auto"/>
          <w:sz w:val="24"/>
          <w:szCs w:val="24"/>
          <w:lang w:eastAsia="zh-CN"/>
        </w:rPr>
        <w:t>）。</w:t>
      </w:r>
    </w:p>
    <w:p w14:paraId="67912B55">
      <w:pPr>
        <w:spacing w:line="360" w:lineRule="auto"/>
        <w:jc w:val="center"/>
        <w:rPr>
          <w:rFonts w:hint="default" w:ascii="Times New Roman" w:hAnsi="Times New Roman" w:cs="Times New Roman" w:eastAsiaTheme="majorEastAsia"/>
          <w:sz w:val="24"/>
          <w:szCs w:val="24"/>
        </w:rPr>
      </w:pPr>
      <w:r>
        <w:rPr>
          <w:rFonts w:hint="default" w:ascii="Times New Roman" w:hAnsi="Times New Roman" w:cs="Times New Roman" w:eastAsiaTheme="majorEastAsia"/>
          <w:sz w:val="24"/>
          <w:szCs w:val="24"/>
        </w:rPr>
        <w:drawing>
          <wp:inline distT="0" distB="0" distL="114300" distR="114300">
            <wp:extent cx="4544695" cy="3777615"/>
            <wp:effectExtent l="0" t="0" r="1905" b="698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4"/>
                    <a:stretch>
                      <a:fillRect/>
                    </a:stretch>
                  </pic:blipFill>
                  <pic:spPr>
                    <a:xfrm>
                      <a:off x="0" y="0"/>
                      <a:ext cx="4544695" cy="3777615"/>
                    </a:xfrm>
                    <a:prstGeom prst="rect">
                      <a:avLst/>
                    </a:prstGeom>
                    <a:noFill/>
                    <a:ln>
                      <a:noFill/>
                    </a:ln>
                  </pic:spPr>
                </pic:pic>
              </a:graphicData>
            </a:graphic>
          </wp:inline>
        </w:drawing>
      </w:r>
    </w:p>
    <w:p w14:paraId="687F5595">
      <w:pPr>
        <w:spacing w:line="360" w:lineRule="auto"/>
        <w:jc w:val="center"/>
        <w:rPr>
          <w:rFonts w:hint="default" w:ascii="Times New Roman" w:hAnsi="Times New Roman" w:cs="Times New Roman" w:eastAsiaTheme="majorEastAsia"/>
          <w:sz w:val="24"/>
          <w:szCs w:val="24"/>
          <w:lang w:eastAsia="zh-CN"/>
        </w:rPr>
      </w:pPr>
      <w:r>
        <w:rPr>
          <w:rFonts w:hint="default" w:ascii="Times New Roman" w:hAnsi="Times New Roman" w:cs="Times New Roman" w:eastAsiaTheme="majorEastAsia"/>
          <w:sz w:val="24"/>
          <w:szCs w:val="24"/>
        </w:rPr>
        <w:t>图1</w:t>
      </w:r>
      <w:r>
        <w:rPr>
          <w:rFonts w:hint="default" w:ascii="Times New Roman" w:hAnsi="Times New Roman" w:cs="Times New Roman" w:eastAsiaTheme="majorEastAsia"/>
          <w:sz w:val="24"/>
          <w:szCs w:val="24"/>
          <w:lang w:val="en-US" w:eastAsia="zh-CN"/>
        </w:rPr>
        <w:t>0</w:t>
      </w:r>
      <w:r>
        <w:rPr>
          <w:rFonts w:hint="default" w:ascii="Times New Roman" w:hAnsi="Times New Roman" w:cs="Times New Roman" w:eastAsiaTheme="majorEastAsia"/>
          <w:sz w:val="24"/>
          <w:szCs w:val="24"/>
        </w:rPr>
        <w:t>. 微磁体增强PMZFNs在前列腺癌中的富集与杀瘤效果。</w:t>
      </w:r>
    </w:p>
    <w:p w14:paraId="7CB367AD">
      <w:pPr>
        <w:spacing w:line="360" w:lineRule="auto"/>
        <w:ind w:firstLine="480" w:firstLineChars="200"/>
        <w:rPr>
          <w:rFonts w:hint="default" w:ascii="Times New Roman" w:hAnsi="Times New Roman" w:cs="Times New Roman" w:eastAsiaTheme="majorEastAsia"/>
          <w:b w:val="0"/>
          <w:bCs w:val="0"/>
          <w:color w:val="auto"/>
          <w:sz w:val="24"/>
          <w:szCs w:val="24"/>
          <w:lang w:eastAsia="zh-CN"/>
        </w:rPr>
      </w:pPr>
      <w:r>
        <w:rPr>
          <w:rFonts w:hint="default" w:ascii="Times New Roman" w:hAnsi="Times New Roman" w:cs="Times New Roman" w:eastAsiaTheme="majorEastAsia"/>
          <w:b w:val="0"/>
          <w:bCs w:val="0"/>
          <w:color w:val="auto"/>
          <w:sz w:val="24"/>
          <w:szCs w:val="24"/>
          <w:lang w:eastAsia="zh-CN"/>
        </w:rPr>
        <w:t>此外，在内分泌治疗方面，研究通过阻断AR与Beclin 1/Vps15/Vps34复合体的相互作用，增强ERK信号抑制能力</w:t>
      </w:r>
      <w:r>
        <w:rPr>
          <w:rFonts w:hint="eastAsia" w:ascii="Times New Roman" w:hAnsi="Times New Roman" w:cs="Times New Roman" w:eastAsiaTheme="majorEastAsia"/>
          <w:b w:val="0"/>
          <w:bCs w:val="0"/>
          <w:color w:val="auto"/>
          <w:sz w:val="24"/>
          <w:szCs w:val="24"/>
          <w:lang w:eastAsia="zh-CN"/>
        </w:rPr>
        <w:t>（Cancer Lett. 2019:442:483-490.）</w:t>
      </w:r>
      <w:r>
        <w:rPr>
          <w:rFonts w:hint="default" w:ascii="Times New Roman" w:hAnsi="Times New Roman" w:cs="Times New Roman" w:eastAsiaTheme="majorEastAsia"/>
          <w:b w:val="0"/>
          <w:bCs w:val="0"/>
          <w:color w:val="auto"/>
          <w:sz w:val="24"/>
          <w:szCs w:val="24"/>
          <w:lang w:eastAsia="zh-CN"/>
        </w:rPr>
        <w:t>；同时上调lncRNA OPHN1-5表达，阻断其与hnRNPA1竞争结合，降低AR蛋白表达水平，有效提升CRPC细胞对恩杂鲁胺的治疗响应</w:t>
      </w:r>
      <w:r>
        <w:rPr>
          <w:rFonts w:hint="eastAsia" w:ascii="Times New Roman" w:hAnsi="Times New Roman" w:cs="Times New Roman" w:eastAsiaTheme="majorEastAsia"/>
          <w:b w:val="0"/>
          <w:bCs w:val="0"/>
          <w:color w:val="auto"/>
          <w:sz w:val="24"/>
          <w:szCs w:val="24"/>
          <w:lang w:eastAsia="zh-CN"/>
        </w:rPr>
        <w:t>（Cell Death Dis. 2021;12:855.）</w:t>
      </w:r>
      <w:r>
        <w:rPr>
          <w:rFonts w:hint="default" w:ascii="Times New Roman" w:hAnsi="Times New Roman" w:cs="Times New Roman" w:eastAsiaTheme="majorEastAsia"/>
          <w:b w:val="0"/>
          <w:bCs w:val="0"/>
          <w:color w:val="auto"/>
          <w:sz w:val="24"/>
          <w:szCs w:val="24"/>
          <w:lang w:eastAsia="zh-CN"/>
        </w:rPr>
        <w:t>，为激素耐药患者提供新的干预方向（</w:t>
      </w:r>
      <w:r>
        <w:rPr>
          <w:rFonts w:hint="default" w:ascii="Times New Roman" w:hAnsi="Times New Roman" w:cs="Times New Roman" w:eastAsiaTheme="majorEastAsia"/>
          <w:b w:val="0"/>
          <w:bCs w:val="0"/>
          <w:color w:val="auto"/>
          <w:sz w:val="24"/>
          <w:szCs w:val="24"/>
          <w:lang w:val="en-US" w:eastAsia="zh-CN"/>
        </w:rPr>
        <w:t>图11</w:t>
      </w:r>
      <w:r>
        <w:rPr>
          <w:rFonts w:hint="default" w:ascii="Times New Roman" w:hAnsi="Times New Roman" w:cs="Times New Roman" w:eastAsiaTheme="majorEastAsia"/>
          <w:b w:val="0"/>
          <w:bCs w:val="0"/>
          <w:color w:val="auto"/>
          <w:sz w:val="24"/>
          <w:szCs w:val="24"/>
          <w:lang w:eastAsia="zh-CN"/>
        </w:rPr>
        <w:t>）。</w:t>
      </w:r>
    </w:p>
    <w:p w14:paraId="29A6C680">
      <w:pPr>
        <w:spacing w:line="360" w:lineRule="auto"/>
        <w:jc w:val="center"/>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sz w:val="24"/>
          <w:szCs w:val="24"/>
        </w:rPr>
        <w:drawing>
          <wp:inline distT="0" distB="0" distL="114300" distR="114300">
            <wp:extent cx="4201795" cy="2452370"/>
            <wp:effectExtent l="0" t="0" r="1905" b="1143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5"/>
                    <a:stretch>
                      <a:fillRect/>
                    </a:stretch>
                  </pic:blipFill>
                  <pic:spPr>
                    <a:xfrm>
                      <a:off x="0" y="0"/>
                      <a:ext cx="4201795" cy="2452370"/>
                    </a:xfrm>
                    <a:prstGeom prst="rect">
                      <a:avLst/>
                    </a:prstGeom>
                    <a:noFill/>
                    <a:ln>
                      <a:noFill/>
                    </a:ln>
                  </pic:spPr>
                </pic:pic>
              </a:graphicData>
            </a:graphic>
          </wp:inline>
        </w:drawing>
      </w:r>
    </w:p>
    <w:p w14:paraId="6E656182">
      <w:pPr>
        <w:keepNext w:val="0"/>
        <w:keepLines w:val="0"/>
        <w:widowControl/>
        <w:suppressLineNumbers w:val="0"/>
        <w:spacing w:line="360" w:lineRule="auto"/>
        <w:jc w:val="center"/>
        <w:rPr>
          <w:rFonts w:hint="default" w:ascii="Times New Roman" w:hAnsi="Times New Roman" w:cs="Times New Roman" w:eastAsiaTheme="majorEastAsia"/>
          <w:b w:val="0"/>
          <w:bCs w:val="0"/>
          <w:color w:val="auto"/>
          <w:sz w:val="24"/>
          <w:szCs w:val="24"/>
        </w:rPr>
      </w:pPr>
      <w:r>
        <w:rPr>
          <w:rFonts w:hint="default" w:ascii="Times New Roman" w:hAnsi="Times New Roman" w:cs="Times New Roman" w:eastAsiaTheme="majorEastAsia"/>
          <w:b w:val="0"/>
          <w:bCs w:val="0"/>
          <w:color w:val="auto"/>
          <w:kern w:val="0"/>
          <w:sz w:val="24"/>
          <w:szCs w:val="24"/>
          <w:lang w:val="en-US" w:eastAsia="zh-CN" w:bidi="ar"/>
        </w:rPr>
        <w:t>图11. 靶向AR-Beclin 1/Vps15/Vps34及lnc-OPHN1-5-AR/hnRNPA1复合体逆转CRPC恩杂鲁胺耐药。</w:t>
      </w:r>
    </w:p>
    <w:p w14:paraId="48D6A683">
      <w:pPr>
        <w:spacing w:line="360" w:lineRule="auto"/>
        <w:ind w:firstLine="480" w:firstLineChars="200"/>
        <w:jc w:val="both"/>
        <w:rPr>
          <w:rFonts w:hint="default" w:ascii="Times New Roman" w:hAnsi="Times New Roman" w:cs="Times New Roman" w:eastAsiaTheme="majorEastAsia"/>
          <w:b w:val="0"/>
          <w:bCs w:val="0"/>
          <w:color w:val="auto"/>
          <w:sz w:val="24"/>
          <w:szCs w:val="24"/>
          <w:lang w:eastAsia="zh-CN"/>
        </w:rPr>
      </w:pPr>
      <w:r>
        <w:rPr>
          <w:rFonts w:hint="default" w:ascii="Times New Roman" w:hAnsi="Times New Roman" w:cs="Times New Roman" w:eastAsiaTheme="majorEastAsia"/>
          <w:b w:val="0"/>
          <w:bCs w:val="0"/>
          <w:color w:val="auto"/>
          <w:sz w:val="24"/>
          <w:szCs w:val="24"/>
          <w:lang w:eastAsia="zh-CN"/>
        </w:rPr>
        <w:t>项目还明确了KMT2C缺失驱动的前列腺癌细胞表型转化机制。通过单细胞RNA测序和多组学联合分析，证实KMT2C缺失联合AR失活可诱导ΔNp63表达，介导管腔型前列腺癌向双阴性神经内分泌型（DNPC）转分化，且伴随Sp1下调与AR信号抑制。同时发现ΔNp63可在DNPC细胞中重新激活脂肪酸合成通路以维持代谢稳定。该研究提出以脂肪酸合成为靶点的治疗新策略，并于《Cancer Cell》2025年发表，代表我国在DNPC分子机制领域重要突破（Cancer Cell. 2025:S1535-6108(25)00139-4</w:t>
      </w:r>
      <w:r>
        <w:rPr>
          <w:rFonts w:hint="eastAsia" w:ascii="Times New Roman" w:hAnsi="Times New Roman" w:cs="Times New Roman" w:eastAsiaTheme="majorEastAsia"/>
          <w:b w:val="0"/>
          <w:bCs w:val="0"/>
          <w:color w:val="auto"/>
          <w:sz w:val="24"/>
          <w:szCs w:val="24"/>
          <w:lang w:eastAsia="zh-CN"/>
        </w:rPr>
        <w:t>，</w:t>
      </w:r>
      <w:r>
        <w:rPr>
          <w:rFonts w:hint="default" w:ascii="Times New Roman" w:hAnsi="Times New Roman" w:cs="Times New Roman" w:eastAsiaTheme="majorEastAsia"/>
          <w:b w:val="0"/>
          <w:bCs w:val="0"/>
          <w:color w:val="auto"/>
          <w:sz w:val="24"/>
          <w:szCs w:val="24"/>
          <w:lang w:val="en-US" w:eastAsia="zh-CN"/>
        </w:rPr>
        <w:t>图12</w:t>
      </w:r>
      <w:r>
        <w:rPr>
          <w:rFonts w:hint="default" w:ascii="Times New Roman" w:hAnsi="Times New Roman" w:cs="Times New Roman" w:eastAsiaTheme="majorEastAsia"/>
          <w:b w:val="0"/>
          <w:bCs w:val="0"/>
          <w:color w:val="auto"/>
          <w:sz w:val="24"/>
          <w:szCs w:val="24"/>
          <w:lang w:eastAsia="zh-CN"/>
        </w:rPr>
        <w:t>）。</w:t>
      </w:r>
    </w:p>
    <w:p w14:paraId="60AC6B2A">
      <w:pPr>
        <w:spacing w:line="360" w:lineRule="auto"/>
        <w:jc w:val="center"/>
        <w:rPr>
          <w:rFonts w:hint="default" w:ascii="Times New Roman" w:hAnsi="Times New Roman" w:cs="Times New Roman" w:eastAsiaTheme="majorEastAsia"/>
          <w:b w:val="0"/>
          <w:bCs w:val="0"/>
          <w:color w:val="auto"/>
          <w:sz w:val="24"/>
          <w:szCs w:val="24"/>
          <w:lang w:eastAsia="zh-CN"/>
        </w:rPr>
      </w:pPr>
      <w:r>
        <w:rPr>
          <w:rFonts w:hint="default" w:ascii="Times New Roman" w:hAnsi="Times New Roman" w:cs="Times New Roman" w:eastAsiaTheme="majorEastAsia"/>
          <w:b w:val="0"/>
          <w:bCs w:val="0"/>
          <w:color w:val="auto"/>
          <w:sz w:val="24"/>
          <w:szCs w:val="24"/>
          <w:lang w:eastAsia="zh-CN"/>
        </w:rPr>
        <w:drawing>
          <wp:inline distT="0" distB="0" distL="114300" distR="114300">
            <wp:extent cx="3778885" cy="3778885"/>
            <wp:effectExtent l="0" t="0" r="5715" b="5715"/>
            <wp:docPr id="10" name="图片 10" descr="b728401c33f12eda84af7cc5ed12e0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b728401c33f12eda84af7cc5ed12e0a5"/>
                    <pic:cNvPicPr>
                      <a:picLocks noChangeAspect="1"/>
                    </pic:cNvPicPr>
                  </pic:nvPicPr>
                  <pic:blipFill>
                    <a:blip r:embed="rId16"/>
                    <a:stretch>
                      <a:fillRect/>
                    </a:stretch>
                  </pic:blipFill>
                  <pic:spPr>
                    <a:xfrm>
                      <a:off x="0" y="0"/>
                      <a:ext cx="3778885" cy="3778885"/>
                    </a:xfrm>
                    <a:prstGeom prst="rect">
                      <a:avLst/>
                    </a:prstGeom>
                  </pic:spPr>
                </pic:pic>
              </a:graphicData>
            </a:graphic>
          </wp:inline>
        </w:drawing>
      </w:r>
    </w:p>
    <w:p w14:paraId="6CA7DB05">
      <w:pPr>
        <w:spacing w:line="360" w:lineRule="auto"/>
        <w:jc w:val="both"/>
        <w:rPr>
          <w:rFonts w:hint="default" w:ascii="Times New Roman" w:hAnsi="Times New Roman" w:cs="Times New Roman" w:eastAsiaTheme="majorEastAsia"/>
          <w:b w:val="0"/>
          <w:bCs w:val="0"/>
          <w:color w:val="auto"/>
          <w:kern w:val="2"/>
          <w:sz w:val="24"/>
          <w:szCs w:val="24"/>
          <w:lang w:val="en-US" w:eastAsia="zh-CN" w:bidi="ar-SA"/>
        </w:rPr>
      </w:pPr>
      <w:r>
        <w:rPr>
          <w:rFonts w:hint="default" w:ascii="Times New Roman" w:hAnsi="Times New Roman" w:cs="Times New Roman" w:eastAsiaTheme="majorEastAsia"/>
          <w:b w:val="0"/>
          <w:bCs w:val="0"/>
          <w:color w:val="auto"/>
          <w:kern w:val="2"/>
          <w:sz w:val="24"/>
          <w:szCs w:val="24"/>
          <w:lang w:val="en-US" w:eastAsia="zh-CN" w:bidi="ar-SA"/>
        </w:rPr>
        <w:t>图12. 展示了KMT2C突变驱动双阴性前列腺癌（DNPC）形成的机制假说模型。</w:t>
      </w:r>
    </w:p>
    <w:p w14:paraId="22A64CC2">
      <w:pPr>
        <w:spacing w:line="360" w:lineRule="auto"/>
        <w:jc w:val="both"/>
        <w:rPr>
          <w:rFonts w:hint="default" w:ascii="Times New Roman" w:hAnsi="Times New Roman" w:cs="Times New Roman" w:eastAsiaTheme="majorEastAsia"/>
          <w:b w:val="0"/>
          <w:bCs w:val="0"/>
          <w:color w:val="auto"/>
          <w:kern w:val="2"/>
          <w:sz w:val="24"/>
          <w:szCs w:val="24"/>
          <w:lang w:val="en-US" w:eastAsia="zh-CN" w:bidi="ar-SA"/>
        </w:rPr>
      </w:pPr>
    </w:p>
    <w:bookmarkEnd w:id="1"/>
    <w:p w14:paraId="353ADC89">
      <w:pPr>
        <w:numPr>
          <w:ilvl w:val="0"/>
          <w:numId w:val="1"/>
        </w:numPr>
        <w:spacing w:line="360" w:lineRule="auto"/>
        <w:ind w:firstLine="482" w:firstLineChars="200"/>
        <w:jc w:val="both"/>
        <w:rPr>
          <w:rFonts w:hint="default" w:ascii="Times New Roman" w:hAnsi="Times New Roman" w:cs="Times New Roman" w:eastAsiaTheme="majorEastAsia"/>
          <w:color w:val="auto"/>
          <w:kern w:val="0"/>
          <w:sz w:val="24"/>
          <w:szCs w:val="24"/>
          <w:lang w:bidi="ar"/>
        </w:rPr>
      </w:pPr>
      <w:r>
        <w:rPr>
          <w:rFonts w:hint="default" w:ascii="Times New Roman" w:hAnsi="Times New Roman" w:cs="Times New Roman" w:eastAsiaTheme="majorEastAsia"/>
          <w:b/>
          <w:bCs/>
          <w:color w:val="auto"/>
          <w:kern w:val="0"/>
          <w:sz w:val="24"/>
          <w:szCs w:val="24"/>
          <w:lang w:val="en-US" w:eastAsia="zh-CN" w:bidi="ar"/>
        </w:rPr>
        <w:t>在国际上研发出医疗级无线智能超高清腔镜系统。</w:t>
      </w:r>
      <w:r>
        <w:rPr>
          <w:rFonts w:hint="default" w:ascii="Times New Roman" w:hAnsi="Times New Roman" w:cs="Times New Roman" w:eastAsiaTheme="majorEastAsia"/>
          <w:color w:val="auto"/>
          <w:kern w:val="0"/>
          <w:sz w:val="24"/>
          <w:szCs w:val="24"/>
          <w:lang w:bidi="ar"/>
        </w:rPr>
        <w:t>候选人联合中国科学技术大学、合肥工业大学等单位，历时10余年攻关，成功研发国际首套医疗级无线智能超高清腔镜系统，突破腔镜手术“线缆束缚、平台依赖、智能缺位”三大核心难题，创新性打造“无束缚—无边界—泛智联”智能微创手术新体系。该系统具备无线化、便携化、智能化优势，适用于多场景外科诊疗，有效支撑基层应用、突发救援及分级诊疗。项目授权发明专利40项、软件著作权53项，制定临床指南1部，发表论文67篇，获2021年安徽省科技进步一等奖。产品获得中国首个无线腔镜注册证及全球首个CE认证，入选“世界制造业大会十佳创新产品”，已在解放军总医院等190余家国内医院及16家海外机构应用，销售额达3.7亿元，完成手术14300余台、医生培训近4.8万人，显著推动我国微创外科技术自主化、智能化发展</w:t>
      </w:r>
      <w:r>
        <w:rPr>
          <w:rFonts w:hint="default" w:ascii="Times New Roman" w:hAnsi="Times New Roman" w:cs="Times New Roman" w:eastAsiaTheme="majorEastAsia"/>
          <w:color w:val="auto"/>
          <w:kern w:val="0"/>
          <w:sz w:val="24"/>
          <w:szCs w:val="24"/>
          <w:lang w:eastAsia="zh-CN" w:bidi="ar"/>
        </w:rPr>
        <w:t>（</w:t>
      </w:r>
      <w:r>
        <w:rPr>
          <w:rFonts w:hint="default" w:ascii="Times New Roman" w:hAnsi="Times New Roman" w:cs="Times New Roman" w:eastAsiaTheme="majorEastAsia"/>
          <w:color w:val="auto"/>
          <w:kern w:val="0"/>
          <w:sz w:val="24"/>
          <w:szCs w:val="24"/>
          <w:lang w:val="en-US" w:eastAsia="zh-CN" w:bidi="ar"/>
        </w:rPr>
        <w:t>图13</w:t>
      </w:r>
      <w:r>
        <w:rPr>
          <w:rFonts w:hint="default" w:ascii="Times New Roman" w:hAnsi="Times New Roman" w:cs="Times New Roman" w:eastAsiaTheme="majorEastAsia"/>
          <w:color w:val="auto"/>
          <w:kern w:val="0"/>
          <w:sz w:val="24"/>
          <w:szCs w:val="24"/>
          <w:lang w:eastAsia="zh-CN" w:bidi="ar"/>
        </w:rPr>
        <w:t>）</w:t>
      </w:r>
      <w:r>
        <w:rPr>
          <w:rFonts w:hint="default" w:ascii="Times New Roman" w:hAnsi="Times New Roman" w:cs="Times New Roman" w:eastAsiaTheme="majorEastAsia"/>
          <w:color w:val="auto"/>
          <w:kern w:val="0"/>
          <w:sz w:val="24"/>
          <w:szCs w:val="24"/>
          <w:lang w:bidi="ar"/>
        </w:rPr>
        <w:t>。</w:t>
      </w:r>
    </w:p>
    <w:p w14:paraId="36ACF567">
      <w:pPr>
        <w:numPr>
          <w:ilvl w:val="0"/>
          <w:numId w:val="0"/>
        </w:numPr>
        <w:spacing w:line="360" w:lineRule="auto"/>
        <w:jc w:val="center"/>
        <w:rPr>
          <w:rFonts w:hint="default" w:ascii="Times New Roman" w:hAnsi="Times New Roman" w:cs="Times New Roman" w:eastAsiaTheme="majorEastAsia"/>
          <w:sz w:val="24"/>
          <w:szCs w:val="24"/>
        </w:rPr>
      </w:pPr>
      <w:r>
        <w:rPr>
          <w:rFonts w:hint="default" w:ascii="Times New Roman" w:hAnsi="Times New Roman" w:cs="Times New Roman" w:eastAsiaTheme="majorEastAsia"/>
          <w:sz w:val="24"/>
          <w:szCs w:val="24"/>
        </w:rPr>
        <w:drawing>
          <wp:inline distT="0" distB="0" distL="114300" distR="114300">
            <wp:extent cx="4920615" cy="2732405"/>
            <wp:effectExtent l="0" t="0" r="6985" b="10795"/>
            <wp:docPr id="14" name="图片 7" descr="upload_post_object_v2_263287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descr="upload_post_object_v2_2632874017"/>
                    <pic:cNvPicPr>
                      <a:picLocks noChangeAspect="1"/>
                    </pic:cNvPicPr>
                  </pic:nvPicPr>
                  <pic:blipFill>
                    <a:blip r:embed="rId17"/>
                    <a:stretch>
                      <a:fillRect/>
                    </a:stretch>
                  </pic:blipFill>
                  <pic:spPr>
                    <a:xfrm>
                      <a:off x="0" y="0"/>
                      <a:ext cx="4920615" cy="2732405"/>
                    </a:xfrm>
                    <a:prstGeom prst="rect">
                      <a:avLst/>
                    </a:prstGeom>
                  </pic:spPr>
                </pic:pic>
              </a:graphicData>
            </a:graphic>
          </wp:inline>
        </w:drawing>
      </w:r>
    </w:p>
    <w:p w14:paraId="7BAAD806">
      <w:pPr>
        <w:numPr>
          <w:ilvl w:val="0"/>
          <w:numId w:val="0"/>
        </w:numPr>
        <w:spacing w:line="360" w:lineRule="auto"/>
        <w:jc w:val="center"/>
        <w:rPr>
          <w:rFonts w:hint="default" w:ascii="Times New Roman" w:hAnsi="Times New Roman" w:cs="Times New Roman" w:eastAsiaTheme="majorEastAsia"/>
          <w:color w:val="auto"/>
          <w:kern w:val="0"/>
          <w:sz w:val="24"/>
          <w:szCs w:val="24"/>
          <w:lang w:bidi="ar"/>
        </w:rPr>
      </w:pPr>
      <w:r>
        <w:rPr>
          <w:rFonts w:hint="default" w:ascii="Times New Roman" w:hAnsi="Times New Roman" w:cs="Times New Roman" w:eastAsiaTheme="majorEastAsia"/>
          <w:sz w:val="24"/>
          <w:szCs w:val="24"/>
          <w:lang w:val="en-US" w:eastAsia="zh-CN"/>
        </w:rPr>
        <w:t>图13. 无线智能腔镜全球学术推广及手术应用情况</w:t>
      </w:r>
    </w:p>
    <w:p w14:paraId="222A534D">
      <w:pPr>
        <w:autoSpaceDE w:val="0"/>
        <w:spacing w:line="360" w:lineRule="auto"/>
        <w:ind w:firstLine="482" w:firstLineChars="200"/>
        <w:jc w:val="both"/>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b/>
          <w:bCs/>
          <w:color w:val="auto"/>
          <w:kern w:val="0"/>
          <w:sz w:val="24"/>
          <w:szCs w:val="24"/>
          <w:lang w:eastAsia="zh-CN" w:bidi="ar"/>
        </w:rPr>
        <w:t>（</w:t>
      </w:r>
      <w:r>
        <w:rPr>
          <w:rFonts w:hint="default" w:ascii="Times New Roman" w:hAnsi="Times New Roman" w:cs="Times New Roman" w:eastAsiaTheme="majorEastAsia"/>
          <w:b/>
          <w:bCs/>
          <w:color w:val="auto"/>
          <w:kern w:val="0"/>
          <w:sz w:val="24"/>
          <w:szCs w:val="24"/>
          <w:lang w:val="en-US" w:eastAsia="zh-CN" w:bidi="ar"/>
        </w:rPr>
        <w:t>1</w:t>
      </w:r>
      <w:r>
        <w:rPr>
          <w:rFonts w:hint="default" w:ascii="Times New Roman" w:hAnsi="Times New Roman" w:cs="Times New Roman" w:eastAsiaTheme="majorEastAsia"/>
          <w:b/>
          <w:bCs/>
          <w:color w:val="auto"/>
          <w:kern w:val="0"/>
          <w:sz w:val="24"/>
          <w:szCs w:val="24"/>
          <w:lang w:eastAsia="zh-CN" w:bidi="ar"/>
        </w:rPr>
        <w:t>）</w:t>
      </w:r>
      <w:r>
        <w:rPr>
          <w:rFonts w:hint="default" w:ascii="Times New Roman" w:hAnsi="Times New Roman" w:cs="Times New Roman" w:eastAsiaTheme="majorEastAsia"/>
          <w:b/>
          <w:bCs/>
          <w:color w:val="auto"/>
          <w:kern w:val="0"/>
          <w:sz w:val="24"/>
          <w:szCs w:val="24"/>
          <w:lang w:bidi="ar"/>
        </w:rPr>
        <w:t>创立无束缚手术新范式：</w:t>
      </w:r>
      <w:r>
        <w:rPr>
          <w:rFonts w:hint="default" w:ascii="Times New Roman" w:hAnsi="Times New Roman" w:cs="Times New Roman" w:eastAsiaTheme="majorEastAsia"/>
          <w:color w:val="auto"/>
          <w:kern w:val="0"/>
          <w:sz w:val="24"/>
          <w:szCs w:val="24"/>
          <w:lang w:bidi="ar"/>
        </w:rPr>
        <w:t>针对传统腔镜“线缆多、束缚大、易干扰、准备繁”等不足，发明基于先验帧信息的多信道并行低延时无线图像传输技术，实现图像传输延时降低至70ms（国际标准120ms），实现了术中图像高帧率无损显示；发明基于双通道交叉补偿机制的多层级电磁干扰屏蔽技术，提升了复杂环境下图像传输抗干扰能力；简化流程，术前准备时间缩短41.4%，“无束缚”的突破显著提升了操作稳定性，保障了医疗安全。</w:t>
      </w:r>
    </w:p>
    <w:p w14:paraId="4CCA759B">
      <w:pPr>
        <w:autoSpaceDE w:val="0"/>
        <w:spacing w:line="360" w:lineRule="auto"/>
        <w:ind w:firstLine="482" w:firstLineChars="200"/>
        <w:jc w:val="both"/>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b/>
          <w:bCs/>
          <w:color w:val="auto"/>
          <w:kern w:val="0"/>
          <w:sz w:val="24"/>
          <w:szCs w:val="24"/>
          <w:lang w:eastAsia="zh-CN" w:bidi="ar"/>
        </w:rPr>
        <w:t>（</w:t>
      </w:r>
      <w:r>
        <w:rPr>
          <w:rFonts w:hint="default" w:ascii="Times New Roman" w:hAnsi="Times New Roman" w:cs="Times New Roman" w:eastAsiaTheme="majorEastAsia"/>
          <w:b/>
          <w:bCs/>
          <w:color w:val="auto"/>
          <w:kern w:val="0"/>
          <w:sz w:val="24"/>
          <w:szCs w:val="24"/>
          <w:lang w:val="en-US" w:eastAsia="zh-CN" w:bidi="ar"/>
        </w:rPr>
        <w:t>2</w:t>
      </w:r>
      <w:r>
        <w:rPr>
          <w:rFonts w:hint="default" w:ascii="Times New Roman" w:hAnsi="Times New Roman" w:cs="Times New Roman" w:eastAsiaTheme="majorEastAsia"/>
          <w:b/>
          <w:bCs/>
          <w:color w:val="auto"/>
          <w:kern w:val="0"/>
          <w:sz w:val="24"/>
          <w:szCs w:val="24"/>
          <w:lang w:eastAsia="zh-CN" w:bidi="ar"/>
        </w:rPr>
        <w:t>）</w:t>
      </w:r>
      <w:r>
        <w:rPr>
          <w:rFonts w:hint="default" w:ascii="Times New Roman" w:hAnsi="Times New Roman" w:cs="Times New Roman" w:eastAsiaTheme="majorEastAsia"/>
          <w:b/>
          <w:bCs/>
          <w:color w:val="auto"/>
          <w:kern w:val="0"/>
          <w:sz w:val="24"/>
          <w:szCs w:val="24"/>
          <w:lang w:bidi="ar"/>
        </w:rPr>
        <w:t>重塑无边界手术新生态：</w:t>
      </w:r>
      <w:r>
        <w:rPr>
          <w:rFonts w:hint="default" w:ascii="Times New Roman" w:hAnsi="Times New Roman" w:cs="Times New Roman" w:eastAsiaTheme="majorEastAsia"/>
          <w:color w:val="auto"/>
          <w:kern w:val="0"/>
          <w:sz w:val="24"/>
          <w:szCs w:val="24"/>
          <w:lang w:bidi="ar"/>
        </w:rPr>
        <w:t>针对传统腔镜系统平台固定且笨重，难以适配突发事件、战地灾害、院前急救等复杂环境需求，首创“鳍式-空腔”复合散热结构，解决高集成腔镜散热瓶颈；研发低功耗自适应动态术野照明模块，提升术中图像清晰度；创新提出“感-存-算-传”一体化腔镜架构，设备体积从27dm³压缩至0.9dm³、重量由11.5kg降至0.5kg、功耗由150W降至15W，实现系统从“固定”向“机动”模式转变，已应用于医疗船、野战方舱等机动场景，支持高难度微创操作，提升了突发任务中的移动医疗保障能力，实现了“无边界”手术新生态。</w:t>
      </w:r>
    </w:p>
    <w:p w14:paraId="7A92FA69">
      <w:pPr>
        <w:autoSpaceDE w:val="0"/>
        <w:spacing w:line="360" w:lineRule="auto"/>
        <w:ind w:firstLine="482" w:firstLineChars="200"/>
        <w:jc w:val="both"/>
        <w:rPr>
          <w:rFonts w:hint="default" w:ascii="Times New Roman" w:hAnsi="Times New Roman" w:cs="Times New Roman" w:eastAsiaTheme="majorEastAsia"/>
          <w:color w:val="auto"/>
          <w:kern w:val="0"/>
          <w:sz w:val="24"/>
          <w:szCs w:val="24"/>
          <w:lang w:bidi="ar"/>
        </w:rPr>
      </w:pPr>
      <w:r>
        <w:rPr>
          <w:rFonts w:hint="default" w:ascii="Times New Roman" w:hAnsi="Times New Roman" w:cs="Times New Roman" w:eastAsiaTheme="majorEastAsia"/>
          <w:b/>
          <w:bCs/>
          <w:color w:val="auto"/>
          <w:kern w:val="0"/>
          <w:sz w:val="24"/>
          <w:szCs w:val="24"/>
          <w:lang w:eastAsia="zh-CN" w:bidi="ar"/>
        </w:rPr>
        <w:t>（</w:t>
      </w:r>
      <w:r>
        <w:rPr>
          <w:rFonts w:hint="default" w:ascii="Times New Roman" w:hAnsi="Times New Roman" w:cs="Times New Roman" w:eastAsiaTheme="majorEastAsia"/>
          <w:b/>
          <w:bCs/>
          <w:color w:val="auto"/>
          <w:kern w:val="0"/>
          <w:sz w:val="24"/>
          <w:szCs w:val="24"/>
          <w:lang w:val="en-US" w:eastAsia="zh-CN" w:bidi="ar"/>
        </w:rPr>
        <w:t>3</w:t>
      </w:r>
      <w:r>
        <w:rPr>
          <w:rFonts w:hint="default" w:ascii="Times New Roman" w:hAnsi="Times New Roman" w:cs="Times New Roman" w:eastAsiaTheme="majorEastAsia"/>
          <w:b/>
          <w:bCs/>
          <w:color w:val="auto"/>
          <w:kern w:val="0"/>
          <w:sz w:val="24"/>
          <w:szCs w:val="24"/>
          <w:lang w:eastAsia="zh-CN" w:bidi="ar"/>
        </w:rPr>
        <w:t>）</w:t>
      </w:r>
      <w:r>
        <w:rPr>
          <w:rFonts w:hint="default" w:ascii="Times New Roman" w:hAnsi="Times New Roman" w:cs="Times New Roman" w:eastAsiaTheme="majorEastAsia"/>
          <w:b/>
          <w:bCs/>
          <w:color w:val="auto"/>
          <w:kern w:val="0"/>
          <w:sz w:val="24"/>
          <w:szCs w:val="24"/>
          <w:lang w:bidi="ar"/>
        </w:rPr>
        <w:t>构建智联协同临床应用新体系：</w:t>
      </w:r>
      <w:r>
        <w:rPr>
          <w:rFonts w:hint="default" w:ascii="Times New Roman" w:hAnsi="Times New Roman" w:cs="Times New Roman" w:eastAsiaTheme="majorEastAsia"/>
          <w:color w:val="auto"/>
          <w:kern w:val="0"/>
          <w:sz w:val="24"/>
          <w:szCs w:val="24"/>
          <w:lang w:bidi="ar"/>
        </w:rPr>
        <w:t>针对当前微创外科面临的术者培养周期长、早期并发症率高等临床能力瓶颈，传统腔镜系统因缺乏术中关键结构智能识别、路径规划辅助及全程质控能力，难以实现实时决策，严重制约微创技术在基层的规范落地与区域医疗能力的同质化提升。本团队提出奇异值均衡图像增强方法，实现了高清成像；进而提出一种基于细节增强反向注意力网络的图像分割方法，提升了病灶边界识别准确率，降低了并发症发生率；构建微创手术路径智能导航系统，实现了手术全过程数据化、远程化、智能化质控，缩短学习曲线，助力基层医师培养。“无束缚—无边界—泛智联”的临床应用新体系已在全国各级医院规模化落地，已完成远程手术示教</w:t>
      </w:r>
      <w:r>
        <w:rPr>
          <w:rFonts w:hint="default" w:ascii="Times New Roman" w:hAnsi="Times New Roman" w:cs="Times New Roman" w:eastAsiaTheme="majorEastAsia"/>
          <w:color w:val="auto"/>
          <w:kern w:val="0"/>
          <w:sz w:val="24"/>
          <w:szCs w:val="24"/>
          <w:lang w:eastAsia="zh" w:bidi="ar"/>
        </w:rPr>
        <w:t>2266</w:t>
      </w:r>
      <w:r>
        <w:rPr>
          <w:rFonts w:hint="default" w:ascii="Times New Roman" w:hAnsi="Times New Roman" w:cs="Times New Roman" w:eastAsiaTheme="majorEastAsia"/>
          <w:color w:val="auto"/>
          <w:kern w:val="0"/>
          <w:sz w:val="24"/>
          <w:szCs w:val="24"/>
          <w:lang w:bidi="ar"/>
        </w:rPr>
        <w:t>例。</w:t>
      </w:r>
    </w:p>
    <w:p w14:paraId="39FE414D">
      <w:pPr>
        <w:autoSpaceDE w:val="0"/>
        <w:spacing w:line="360" w:lineRule="auto"/>
        <w:jc w:val="both"/>
        <w:rPr>
          <w:rFonts w:hint="default" w:ascii="Times New Roman" w:hAnsi="Times New Roman" w:cs="Times New Roman" w:eastAsiaTheme="majorEastAsia"/>
          <w:color w:val="auto"/>
          <w:kern w:val="0"/>
          <w:sz w:val="24"/>
          <w:szCs w:val="24"/>
          <w:lang w:bidi="ar"/>
        </w:rPr>
      </w:pPr>
    </w:p>
    <w:p w14:paraId="3E938C87">
      <w:pPr>
        <w:spacing w:line="360" w:lineRule="auto"/>
        <w:ind w:firstLine="482" w:firstLineChars="200"/>
        <w:jc w:val="both"/>
        <w:rPr>
          <w:rFonts w:hint="default" w:ascii="Times New Roman" w:hAnsi="Times New Roman" w:cs="Times New Roman" w:eastAsiaTheme="majorEastAsia"/>
          <w:b w:val="0"/>
          <w:bCs w:val="0"/>
          <w:color w:val="auto"/>
          <w:sz w:val="24"/>
          <w:szCs w:val="24"/>
          <w:lang w:eastAsia="zh-CN"/>
        </w:rPr>
      </w:pPr>
      <w:r>
        <w:rPr>
          <w:rFonts w:hint="default" w:ascii="Times New Roman" w:hAnsi="Times New Roman" w:cs="Times New Roman" w:eastAsiaTheme="majorEastAsia"/>
          <w:b/>
          <w:bCs/>
          <w:color w:val="auto"/>
          <w:sz w:val="24"/>
          <w:szCs w:val="24"/>
          <w:lang w:val="en-US" w:eastAsia="zh-CN"/>
        </w:rPr>
        <w:t>3、</w:t>
      </w:r>
      <w:r>
        <w:rPr>
          <w:rFonts w:hint="default" w:ascii="Times New Roman" w:hAnsi="Times New Roman" w:cs="Times New Roman" w:eastAsiaTheme="majorEastAsia"/>
          <w:b/>
          <w:bCs/>
          <w:color w:val="auto"/>
          <w:sz w:val="24"/>
          <w:szCs w:val="24"/>
        </w:rPr>
        <w:t>在临床上开展手术技术创新研究</w:t>
      </w:r>
      <w:r>
        <w:rPr>
          <w:rFonts w:hint="default" w:ascii="Times New Roman" w:hAnsi="Times New Roman" w:cs="Times New Roman" w:eastAsiaTheme="majorEastAsia"/>
          <w:b/>
          <w:bCs/>
          <w:color w:val="auto"/>
          <w:sz w:val="24"/>
          <w:szCs w:val="24"/>
          <w:lang w:eastAsia="zh-CN"/>
        </w:rPr>
        <w:t>。</w:t>
      </w:r>
      <w:r>
        <w:rPr>
          <w:rFonts w:hint="default" w:ascii="Times New Roman" w:hAnsi="Times New Roman" w:cs="Times New Roman" w:eastAsiaTheme="majorEastAsia"/>
          <w:b w:val="0"/>
          <w:bCs w:val="0"/>
          <w:color w:val="auto"/>
          <w:sz w:val="24"/>
          <w:szCs w:val="24"/>
        </w:rPr>
        <w:t>首次在国际上提出腹腔镜腰腹联合入路肾脏肿瘤微创手术用于肾脏肿瘤的手术治疗；创新了前列腺癌根治术关键步骤的手术技术方法；国际首创去顶减压+带蒂大网膜包裹术治疗成人多囊肾；提出并规范了包皮环切术最佳手术时间；创新性地构建出标准化、精准化的前列腺穿刺体系</w:t>
      </w:r>
      <w:r>
        <w:rPr>
          <w:rFonts w:hint="default" w:ascii="Times New Roman" w:hAnsi="Times New Roman" w:cs="Times New Roman" w:eastAsiaTheme="majorEastAsia"/>
          <w:b w:val="0"/>
          <w:bCs w:val="0"/>
          <w:color w:val="auto"/>
          <w:sz w:val="24"/>
          <w:szCs w:val="24"/>
          <w:lang w:eastAsia="zh-CN"/>
        </w:rPr>
        <w:t>；省内率先开展5G远程机器人手术及单臂单孔机器人辅助前列腺根治术。</w:t>
      </w:r>
      <w:r>
        <w:rPr>
          <w:rFonts w:hint="default" w:ascii="Times New Roman" w:hAnsi="Times New Roman" w:cs="Times New Roman" w:eastAsiaTheme="majorEastAsia"/>
          <w:b w:val="0"/>
          <w:bCs w:val="0"/>
          <w:color w:val="auto"/>
          <w:sz w:val="24"/>
          <w:szCs w:val="24"/>
        </w:rPr>
        <w:t>以上手术方式的创新及观点均得到同行的广泛认可，提高了手术效果，减少并发症，项目成果在国内</w:t>
      </w:r>
      <w:r>
        <w:rPr>
          <w:rFonts w:hint="default" w:ascii="Times New Roman" w:hAnsi="Times New Roman" w:cs="Times New Roman" w:eastAsiaTheme="majorEastAsia"/>
          <w:b w:val="0"/>
          <w:bCs w:val="0"/>
          <w:color w:val="auto"/>
          <w:sz w:val="24"/>
          <w:szCs w:val="24"/>
          <w:lang w:val="en-US" w:eastAsia="zh-CN"/>
        </w:rPr>
        <w:t>100</w:t>
      </w:r>
      <w:r>
        <w:rPr>
          <w:rFonts w:hint="default" w:ascii="Times New Roman" w:hAnsi="Times New Roman" w:cs="Times New Roman" w:eastAsiaTheme="majorEastAsia"/>
          <w:b w:val="0"/>
          <w:bCs w:val="0"/>
          <w:color w:val="auto"/>
          <w:sz w:val="24"/>
          <w:szCs w:val="24"/>
        </w:rPr>
        <w:t>多家三甲医院应用推广，候选人应邀在国内外学术会议上做手术演示和大会报告</w:t>
      </w:r>
      <w:r>
        <w:rPr>
          <w:rFonts w:hint="default" w:ascii="Times New Roman" w:hAnsi="Times New Roman" w:cs="Times New Roman" w:eastAsiaTheme="majorEastAsia"/>
          <w:b w:val="0"/>
          <w:bCs w:val="0"/>
          <w:color w:val="auto"/>
          <w:sz w:val="24"/>
          <w:szCs w:val="24"/>
          <w:lang w:val="en-US" w:eastAsia="zh-CN"/>
        </w:rPr>
        <w:t>300</w:t>
      </w:r>
      <w:r>
        <w:rPr>
          <w:rFonts w:hint="default" w:ascii="Times New Roman" w:hAnsi="Times New Roman" w:cs="Times New Roman" w:eastAsiaTheme="majorEastAsia"/>
          <w:b w:val="0"/>
          <w:bCs w:val="0"/>
          <w:color w:val="auto"/>
          <w:sz w:val="24"/>
          <w:szCs w:val="24"/>
        </w:rPr>
        <w:t>余次，产生了良好的社会和经济效益</w:t>
      </w:r>
      <w:r>
        <w:rPr>
          <w:rFonts w:hint="default" w:ascii="Times New Roman" w:hAnsi="Times New Roman" w:cs="Times New Roman" w:eastAsiaTheme="majorEastAsia"/>
          <w:b w:val="0"/>
          <w:bCs w:val="0"/>
          <w:color w:val="auto"/>
          <w:sz w:val="24"/>
          <w:szCs w:val="24"/>
          <w:lang w:eastAsia="zh-CN"/>
        </w:rPr>
        <w:t>。</w:t>
      </w:r>
    </w:p>
    <w:p w14:paraId="1A169B1C">
      <w:pPr>
        <w:spacing w:line="360" w:lineRule="auto"/>
        <w:jc w:val="both"/>
        <w:rPr>
          <w:rFonts w:hint="default" w:ascii="Times New Roman" w:hAnsi="Times New Roman" w:cs="Times New Roman" w:eastAsiaTheme="majorEastAsia"/>
          <w:b/>
          <w:bCs/>
          <w:color w:val="auto"/>
          <w:spacing w:val="-3"/>
          <w:sz w:val="24"/>
          <w:szCs w:val="24"/>
        </w:rPr>
      </w:pPr>
      <w:r>
        <w:rPr>
          <w:rFonts w:hint="default" w:ascii="Times New Roman" w:hAnsi="Times New Roman" w:cs="Times New Roman" w:eastAsiaTheme="majorEastAsia"/>
          <w:b/>
          <w:bCs/>
          <w:color w:val="auto"/>
          <w:spacing w:val="-3"/>
          <w:sz w:val="24"/>
          <w:szCs w:val="24"/>
        </w:rPr>
        <w:t>（1）首次在国际上提出并推广了腹腔镜腰腹联合入路肾脏肿瘤微创手术方法</w:t>
      </w:r>
    </w:p>
    <w:p w14:paraId="5861F4A5">
      <w:pPr>
        <w:spacing w:line="360" w:lineRule="auto"/>
        <w:ind w:firstLine="468" w:firstLineChars="200"/>
        <w:jc w:val="both"/>
        <w:rPr>
          <w:rFonts w:hint="default" w:ascii="Times New Roman" w:hAnsi="Times New Roman" w:cs="Times New Roman" w:eastAsiaTheme="majorEastAsia"/>
          <w:color w:val="auto"/>
          <w:spacing w:val="-3"/>
          <w:sz w:val="24"/>
          <w:szCs w:val="24"/>
        </w:rPr>
      </w:pPr>
      <w:r>
        <w:rPr>
          <w:rFonts w:hint="default" w:ascii="Times New Roman" w:hAnsi="Times New Roman" w:cs="Times New Roman" w:eastAsiaTheme="majorEastAsia"/>
          <w:color w:val="auto"/>
          <w:spacing w:val="-3"/>
          <w:sz w:val="24"/>
          <w:szCs w:val="24"/>
        </w:rPr>
        <w:t>肾脏肿瘤是泌尿系统的常见肿瘤之一，发病率高、机制不明、对化疗和放疗均不敏感，治疗主要方式是手术，包括根治性肿瘤切除术和保留肾单位肾部分切除术。两 者手术适应症不同但都有相应的风险和难度，传统手术入路有经腰、经腹两种，两种 入路各有利弊。候选人带领项目组开展各类肾脏肿瘤微创手术中，在分析、比较、总结了传统的肾脏肿瘤手术经腹、经腰入路的优缺点基础上， 首次在国际上提出并推广了腰腹联合入路保留肾单位肾部分切除术，该入路同时具备较大的手术操作空间、易暴露处理肾蒂血管、有利于肿瘤精准切除及创面确切缝合等多项优势，有效解决了肾脏肿瘤手术操作空间小、创伤大、出血多、热缺血时间长、肿瘤种植残留等临床难题（图1</w:t>
      </w:r>
      <w:r>
        <w:rPr>
          <w:rFonts w:hint="default" w:ascii="Times New Roman" w:hAnsi="Times New Roman" w:cs="Times New Roman" w:eastAsiaTheme="majorEastAsia"/>
          <w:color w:val="auto"/>
          <w:spacing w:val="-3"/>
          <w:sz w:val="24"/>
          <w:szCs w:val="24"/>
          <w:lang w:val="en-US" w:eastAsia="zh-CN"/>
        </w:rPr>
        <w:t>4</w:t>
      </w:r>
      <w:r>
        <w:rPr>
          <w:rFonts w:hint="default" w:ascii="Times New Roman" w:hAnsi="Times New Roman" w:cs="Times New Roman" w:eastAsiaTheme="majorEastAsia"/>
          <w:color w:val="auto"/>
          <w:spacing w:val="-3"/>
          <w:sz w:val="24"/>
          <w:szCs w:val="24"/>
        </w:rPr>
        <w:t>）。该手术视频被美国权威泌尿外科杂志Journal of Endourology and Videourology 收录并在线发表。</w:t>
      </w:r>
    </w:p>
    <w:p w14:paraId="77967E69">
      <w:pPr>
        <w:spacing w:line="360" w:lineRule="auto"/>
        <w:jc w:val="both"/>
        <w:rPr>
          <w:rFonts w:hint="default" w:ascii="Times New Roman" w:hAnsi="Times New Roman" w:cs="Times New Roman" w:eastAsiaTheme="majorEastAsia"/>
          <w:color w:val="auto"/>
          <w:sz w:val="24"/>
          <w:szCs w:val="24"/>
        </w:rPr>
      </w:pPr>
      <w:r>
        <w:rPr>
          <w:rFonts w:hint="default" w:ascii="Times New Roman" w:hAnsi="Times New Roman" w:cs="Times New Roman" w:eastAsiaTheme="majorEastAsia"/>
          <w:color w:val="auto"/>
          <w:position w:val="-48"/>
          <w:sz w:val="24"/>
          <w:szCs w:val="24"/>
        </w:rPr>
        <w:drawing>
          <wp:inline distT="0" distB="0" distL="0" distR="0">
            <wp:extent cx="5252085" cy="1543050"/>
            <wp:effectExtent l="0" t="0" r="5715" b="6350"/>
            <wp:docPr id="11" name="IM 10"/>
            <wp:cNvGraphicFramePr/>
            <a:graphic xmlns:a="http://schemas.openxmlformats.org/drawingml/2006/main">
              <a:graphicData uri="http://schemas.openxmlformats.org/drawingml/2006/picture">
                <pic:pic xmlns:pic="http://schemas.openxmlformats.org/drawingml/2006/picture">
                  <pic:nvPicPr>
                    <pic:cNvPr id="11" name="IM 10"/>
                    <pic:cNvPicPr/>
                  </pic:nvPicPr>
                  <pic:blipFill>
                    <a:blip r:embed="rId18"/>
                    <a:stretch>
                      <a:fillRect/>
                    </a:stretch>
                  </pic:blipFill>
                  <pic:spPr>
                    <a:xfrm>
                      <a:off x="0" y="0"/>
                      <a:ext cx="5252339" cy="1543050"/>
                    </a:xfrm>
                    <a:prstGeom prst="rect">
                      <a:avLst/>
                    </a:prstGeom>
                  </pic:spPr>
                </pic:pic>
              </a:graphicData>
            </a:graphic>
          </wp:inline>
        </w:drawing>
      </w:r>
    </w:p>
    <w:p w14:paraId="62FFDD96">
      <w:pPr>
        <w:spacing w:line="360" w:lineRule="auto"/>
        <w:jc w:val="center"/>
        <w:rPr>
          <w:rFonts w:hint="default" w:ascii="Times New Roman" w:hAnsi="Times New Roman" w:cs="Times New Roman" w:eastAsiaTheme="majorEastAsia"/>
          <w:color w:val="auto"/>
          <w:spacing w:val="-3"/>
          <w:sz w:val="24"/>
          <w:szCs w:val="24"/>
        </w:rPr>
      </w:pPr>
      <w:r>
        <w:rPr>
          <w:rFonts w:hint="default" w:ascii="Times New Roman" w:hAnsi="Times New Roman" w:cs="Times New Roman" w:eastAsiaTheme="majorEastAsia"/>
          <w:color w:val="auto"/>
          <w:spacing w:val="-3"/>
          <w:sz w:val="24"/>
          <w:szCs w:val="24"/>
        </w:rPr>
        <w:t>图</w:t>
      </w:r>
      <w:r>
        <w:rPr>
          <w:rFonts w:hint="default" w:ascii="Times New Roman" w:hAnsi="Times New Roman" w:cs="Times New Roman" w:eastAsiaTheme="majorEastAsia"/>
          <w:color w:val="auto"/>
          <w:spacing w:val="-3"/>
          <w:sz w:val="24"/>
          <w:szCs w:val="24"/>
          <w:lang w:val="en-US" w:eastAsia="zh-CN"/>
        </w:rPr>
        <w:t>14.</w:t>
      </w:r>
      <w:r>
        <w:rPr>
          <w:rFonts w:hint="default" w:ascii="Times New Roman" w:hAnsi="Times New Roman" w:cs="Times New Roman" w:eastAsiaTheme="majorEastAsia"/>
          <w:color w:val="auto"/>
          <w:spacing w:val="-3"/>
          <w:sz w:val="24"/>
          <w:szCs w:val="24"/>
        </w:rPr>
        <w:t xml:space="preserve">  腰腹联合入路保留肾单位肾部分切除术</w:t>
      </w:r>
    </w:p>
    <w:p w14:paraId="20B9E1EE">
      <w:pPr>
        <w:pStyle w:val="3"/>
        <w:spacing w:line="360" w:lineRule="auto"/>
        <w:jc w:val="both"/>
        <w:rPr>
          <w:rFonts w:hint="default" w:ascii="Times New Roman" w:hAnsi="Times New Roman" w:cs="Times New Roman" w:eastAsiaTheme="majorEastAsia"/>
          <w:b/>
          <w:bCs/>
          <w:color w:val="auto"/>
          <w:spacing w:val="-3"/>
          <w:sz w:val="24"/>
          <w:szCs w:val="24"/>
          <w14:ligatures w14:val="standardContextual"/>
        </w:rPr>
      </w:pPr>
      <w:r>
        <w:rPr>
          <w:rFonts w:hint="default" w:ascii="Times New Roman" w:hAnsi="Times New Roman" w:cs="Times New Roman" w:eastAsiaTheme="majorEastAsia"/>
          <w:b/>
          <w:bCs/>
          <w:color w:val="auto"/>
          <w:spacing w:val="-3"/>
          <w:sz w:val="24"/>
          <w:szCs w:val="24"/>
          <w14:ligatures w14:val="standardContextual"/>
        </w:rPr>
        <w:t>（2）创新了前列腺癌根治术关键步骤的手术技术方法</w:t>
      </w:r>
    </w:p>
    <w:p w14:paraId="161D3D7B">
      <w:pPr>
        <w:spacing w:line="360" w:lineRule="auto"/>
        <w:ind w:firstLine="468" w:firstLineChars="200"/>
        <w:jc w:val="both"/>
        <w:rPr>
          <w:rFonts w:hint="default" w:ascii="Times New Roman" w:hAnsi="Times New Roman" w:cs="Times New Roman" w:eastAsiaTheme="majorEastAsia"/>
          <w:color w:val="auto"/>
          <w:spacing w:val="-3"/>
          <w:sz w:val="24"/>
          <w:szCs w:val="24"/>
        </w:rPr>
      </w:pPr>
      <w:r>
        <w:rPr>
          <w:rFonts w:hint="default" w:ascii="Times New Roman" w:hAnsi="Times New Roman" w:cs="Times New Roman" w:eastAsiaTheme="majorEastAsia"/>
          <w:color w:val="auto"/>
          <w:spacing w:val="-3"/>
          <w:sz w:val="24"/>
          <w:szCs w:val="24"/>
        </w:rPr>
        <w:t>如何提高前列腺癌根治术的效果，减少并发症，是临床上面临的重要任务。术中大出血、术后尿失禁和勃起功能障碍是前列腺根治手术常见的并发症，严重制约的前列腺根治术的开展。为了提高前列腺癌根治术的效果，有利于推广，申请人创造性开展了机器人辅助腹腔镜下解剖性前列腺癌根治术，并在仔细研究盆腔和前列腺及周边组织精细解剖的基础上，利用机器人辅助腹腔镜技术的微创优势，总结出一系列前列腺癌根治术的手术技巧。主要包括以下四个方面，①“精准定位”：保留完整缩窄的膀胱颈，有利于尿道与膀胱的良好的吻合，对尿控意义重大。②“筋膜内切除”：最大程度保留性神经血管束，减少性功能障碍发生。③“顺逆结合”：适用于对于前列腺体积较大、分期较晚或精囊部分侵犯的前列腺癌患者。④“6针连续缝合+悬吊”：可以减少漏尿吻合口狭窄的发生，并且通过悬吊后，可以增加尿道前壁的角度，减少尿失禁的发生</w:t>
      </w:r>
      <w:r>
        <w:rPr>
          <w:rFonts w:hint="default" w:ascii="Times New Roman" w:hAnsi="Times New Roman" w:cs="Times New Roman" w:eastAsiaTheme="majorEastAsia"/>
          <w:color w:val="auto"/>
          <w:spacing w:val="-3"/>
          <w:sz w:val="24"/>
          <w:szCs w:val="24"/>
          <w:lang w:eastAsia="zh-CN"/>
        </w:rPr>
        <w:t>（</w:t>
      </w:r>
      <w:r>
        <w:rPr>
          <w:rFonts w:hint="default" w:ascii="Times New Roman" w:hAnsi="Times New Roman" w:cs="Times New Roman" w:eastAsiaTheme="majorEastAsia"/>
          <w:color w:val="auto"/>
          <w:spacing w:val="-3"/>
          <w:sz w:val="24"/>
          <w:szCs w:val="24"/>
          <w:lang w:val="en-US" w:eastAsia="zh-CN"/>
        </w:rPr>
        <w:t>图15</w:t>
      </w:r>
      <w:r>
        <w:rPr>
          <w:rFonts w:hint="default" w:ascii="Times New Roman" w:hAnsi="Times New Roman" w:cs="Times New Roman" w:eastAsiaTheme="majorEastAsia"/>
          <w:color w:val="auto"/>
          <w:spacing w:val="-3"/>
          <w:sz w:val="24"/>
          <w:szCs w:val="24"/>
          <w:lang w:eastAsia="zh-CN"/>
        </w:rPr>
        <w:t>）</w:t>
      </w:r>
      <w:r>
        <w:rPr>
          <w:rFonts w:hint="default" w:ascii="Times New Roman" w:hAnsi="Times New Roman" w:cs="Times New Roman" w:eastAsiaTheme="majorEastAsia"/>
          <w:color w:val="auto"/>
          <w:spacing w:val="-3"/>
          <w:sz w:val="24"/>
          <w:szCs w:val="24"/>
        </w:rPr>
        <w:t>。应用以上方法有效避免了术中大出血、术后尿失禁和勃起功能障碍等并发症，保证了病人的安全，缩短了住院时间，降低了治疗的费用及术后康复的支出，减轻了社会医疗负担，提高了病人的生活质量。</w:t>
      </w:r>
    </w:p>
    <w:p w14:paraId="0395C935">
      <w:pPr>
        <w:spacing w:line="360" w:lineRule="auto"/>
        <w:jc w:val="both"/>
        <w:rPr>
          <w:rFonts w:hint="default" w:ascii="Times New Roman" w:hAnsi="Times New Roman" w:cs="Times New Roman" w:eastAsiaTheme="majorEastAsia"/>
          <w:color w:val="auto"/>
          <w:spacing w:val="-3"/>
          <w:sz w:val="24"/>
          <w:szCs w:val="24"/>
        </w:rPr>
      </w:pPr>
    </w:p>
    <w:p w14:paraId="5DD829ED">
      <w:pPr>
        <w:spacing w:line="360" w:lineRule="auto"/>
        <w:jc w:val="center"/>
        <w:rPr>
          <w:rFonts w:hint="default" w:ascii="Times New Roman" w:hAnsi="Times New Roman" w:cs="Times New Roman" w:eastAsiaTheme="majorEastAsia"/>
          <w:color w:val="auto"/>
          <w:spacing w:val="-3"/>
          <w:sz w:val="24"/>
          <w:szCs w:val="24"/>
        </w:rPr>
      </w:pPr>
      <w:r>
        <w:rPr>
          <w:rFonts w:hint="default" w:ascii="Times New Roman" w:hAnsi="Times New Roman" w:cs="Times New Roman" w:eastAsiaTheme="majorEastAsia"/>
          <w:color w:val="auto"/>
          <w:spacing w:val="-3"/>
          <w:sz w:val="24"/>
          <w:szCs w:val="24"/>
        </w:rPr>
        <w:drawing>
          <wp:inline distT="0" distB="0" distL="114300" distR="114300">
            <wp:extent cx="3816985" cy="853440"/>
            <wp:effectExtent l="0" t="0" r="5715" b="10160"/>
            <wp:docPr id="11033797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9770" name="图片 1"/>
                    <pic:cNvPicPr>
                      <a:picLocks noChangeAspect="1" noChangeArrowheads="1"/>
                    </pic:cNvPicPr>
                  </pic:nvPicPr>
                  <pic:blipFill>
                    <a:blip r:embed="rId19"/>
                    <a:srcRect b="25125"/>
                    <a:stretch>
                      <a:fillRect/>
                    </a:stretch>
                  </pic:blipFill>
                  <pic:spPr>
                    <a:xfrm>
                      <a:off x="0" y="0"/>
                      <a:ext cx="3817089" cy="853440"/>
                    </a:xfrm>
                    <a:prstGeom prst="rect">
                      <a:avLst/>
                    </a:prstGeom>
                    <a:noFill/>
                  </pic:spPr>
                </pic:pic>
              </a:graphicData>
            </a:graphic>
          </wp:inline>
        </w:drawing>
      </w:r>
    </w:p>
    <w:p w14:paraId="20372A4C">
      <w:pPr>
        <w:spacing w:line="360" w:lineRule="auto"/>
        <w:jc w:val="center"/>
        <w:rPr>
          <w:rFonts w:hint="default" w:ascii="Times New Roman" w:hAnsi="Times New Roman" w:cs="Times New Roman" w:eastAsiaTheme="majorEastAsia"/>
          <w:color w:val="auto"/>
          <w:spacing w:val="-3"/>
          <w:sz w:val="24"/>
          <w:szCs w:val="24"/>
          <w:lang w:val="en-US" w:eastAsia="zh-CN"/>
        </w:rPr>
      </w:pPr>
      <w:r>
        <w:rPr>
          <w:rFonts w:hint="default" w:ascii="Times New Roman" w:hAnsi="Times New Roman" w:cs="Times New Roman" w:eastAsiaTheme="majorEastAsia"/>
          <w:color w:val="auto"/>
          <w:spacing w:val="-3"/>
          <w:sz w:val="24"/>
          <w:szCs w:val="24"/>
          <w:lang w:val="en-US" w:eastAsia="zh-CN"/>
        </w:rPr>
        <w:t>图15. “6 针连续缝合+悬吊”法</w:t>
      </w:r>
    </w:p>
    <w:p w14:paraId="3C37FC91">
      <w:pPr>
        <w:spacing w:line="360" w:lineRule="auto"/>
        <w:jc w:val="both"/>
        <w:rPr>
          <w:rFonts w:hint="default" w:ascii="Times New Roman" w:hAnsi="Times New Roman" w:cs="Times New Roman" w:eastAsiaTheme="majorEastAsia"/>
          <w:b/>
          <w:bCs/>
          <w:color w:val="auto"/>
          <w:spacing w:val="-3"/>
          <w:sz w:val="24"/>
          <w:szCs w:val="24"/>
        </w:rPr>
      </w:pPr>
      <w:r>
        <w:rPr>
          <w:rFonts w:hint="default" w:ascii="Times New Roman" w:hAnsi="Times New Roman" w:cs="Times New Roman" w:eastAsiaTheme="majorEastAsia"/>
          <w:b/>
          <w:bCs/>
          <w:color w:val="auto"/>
          <w:spacing w:val="-3"/>
          <w:sz w:val="24"/>
          <w:szCs w:val="24"/>
        </w:rPr>
        <w:t>（3）国际上首创去顶减压+带蒂大网膜包裹术治疗成人多囊肾，效果明显。</w:t>
      </w:r>
    </w:p>
    <w:p w14:paraId="05DB5F5F">
      <w:pPr>
        <w:spacing w:line="360" w:lineRule="auto"/>
        <w:ind w:firstLine="468" w:firstLineChars="200"/>
        <w:jc w:val="both"/>
        <w:rPr>
          <w:rFonts w:hint="default" w:ascii="Times New Roman" w:hAnsi="Times New Roman" w:cs="Times New Roman" w:eastAsiaTheme="majorEastAsia"/>
          <w:color w:val="auto"/>
          <w:spacing w:val="-3"/>
          <w:sz w:val="24"/>
          <w:szCs w:val="24"/>
        </w:rPr>
      </w:pPr>
      <w:r>
        <w:rPr>
          <w:rFonts w:hint="default" w:ascii="Times New Roman" w:hAnsi="Times New Roman" w:cs="Times New Roman" w:eastAsiaTheme="majorEastAsia"/>
          <w:color w:val="auto"/>
          <w:spacing w:val="-3"/>
          <w:sz w:val="24"/>
          <w:szCs w:val="24"/>
        </w:rPr>
        <w:t>成人多囊肾是一种常染色体显性遗传病，发病率为1/1000～1/400，常在30～40岁发病，大约10%的终末期肾功能衰竭和9%的肾透析患者是由多囊肾病引起的，是引起肾功能衰竭的第三位原因。目前对成人多囊肾的治疗仍无十分理想的方法。传统的方法是对早中期患者可采用囊肿去顶减压手术,可保护余下的正常肾单位免遭挤压和进一步损害，延缓疾病的发展；但传统手术不能解决肾脏感染及肾缺血的问题。团队创新性采用带蒂大网膜包裹去顶减压的多囊肾治疗成人多囊肾，充分利用了大网膜具有丰富的血液及淋巴循环，具备较强的抗感染能力的特点，包裹去顶减压后的多囊肾可以有效改善肾脏的血液供应，避免肾实质的进一步受损,同时有效地预防肾脏感染，吸收囊内分泌液，防止囊肿进行性增大。该手术克服了上述术式的不足，对于多囊肾患者具有降低血压、改善肾功能等作用，能更好地改善患者生活质量，延长生命。术后患者住院时间短，费用较低，经术后随访，效果满意。该研究获得2006年安徽省科技进步二等奖。</w:t>
      </w:r>
    </w:p>
    <w:p w14:paraId="251B456B">
      <w:pPr>
        <w:spacing w:line="360" w:lineRule="auto"/>
        <w:jc w:val="both"/>
        <w:rPr>
          <w:rFonts w:hint="default" w:ascii="Times New Roman" w:hAnsi="Times New Roman" w:cs="Times New Roman" w:eastAsiaTheme="majorEastAsia"/>
          <w:b/>
          <w:bCs/>
          <w:color w:val="auto"/>
          <w:spacing w:val="-3"/>
          <w:sz w:val="24"/>
          <w:szCs w:val="24"/>
        </w:rPr>
      </w:pPr>
      <w:r>
        <w:rPr>
          <w:rFonts w:hint="default" w:ascii="Times New Roman" w:hAnsi="Times New Roman" w:cs="Times New Roman" w:eastAsiaTheme="majorEastAsia"/>
          <w:b/>
          <w:bCs/>
          <w:color w:val="auto"/>
          <w:spacing w:val="-3"/>
          <w:sz w:val="24"/>
          <w:szCs w:val="24"/>
        </w:rPr>
        <w:t>（4）提出并规范了包皮环切术最佳手术时间，得到同行认可。</w:t>
      </w:r>
    </w:p>
    <w:p w14:paraId="580F92F0">
      <w:pPr>
        <w:spacing w:line="360" w:lineRule="auto"/>
        <w:ind w:firstLine="468" w:firstLineChars="200"/>
        <w:jc w:val="both"/>
        <w:rPr>
          <w:rFonts w:hint="default" w:ascii="Times New Roman" w:hAnsi="Times New Roman" w:cs="Times New Roman" w:eastAsiaTheme="majorEastAsia"/>
          <w:color w:val="auto"/>
          <w:spacing w:val="-3"/>
          <w:sz w:val="24"/>
          <w:szCs w:val="24"/>
        </w:rPr>
      </w:pPr>
      <w:r>
        <w:rPr>
          <w:rFonts w:hint="default" w:ascii="Times New Roman" w:hAnsi="Times New Roman" w:cs="Times New Roman" w:eastAsiaTheme="majorEastAsia"/>
          <w:color w:val="auto"/>
          <w:spacing w:val="-3"/>
          <w:sz w:val="24"/>
          <w:szCs w:val="24"/>
        </w:rPr>
        <w:t>包皮过长与包茎是常见的青少年男性外生殖器疾患，是阴茎癌发生的高危因素，包皮环切术则是治疗及预防阴茎癌最常用和有效的方法。长期以来对包皮环切手术时机的选择各家观点不一，困扰了众多医生及患儿家庭。候选人带领男科研究团队开展“男性青少年外生殖器疾患的流行病学、实验与临床研究”，发现随年龄的增长包茎患者的包皮内板上皮细胞增生增加明显，60岁以上患者表现为上皮细胞增生活跃。细胞超微结构研究发现14岁以后这种病理变化影响到线粒体肿胀、内部嵴散乱、核膜有断裂处等细胞器的变化。根据研究结果首次提出“包皮环切最佳手术时机为10～14岁，可减少婴儿时期手术风险”。该研究（男性青少年外生殖器疾患的流行病学、实验与临床研究）获得1998年安徽省科技进步二等奖，研究结果及提出“包皮环切最佳手术时机为10～14岁，可减少婴儿时期手术风险”的观点被国内大量文献所引用，《吴阶平泌尿外科学》第四十九章第1013页《阴茎肿瘤》一章中也引用了该观点，提示有利于阴茎癌的预防。该研究及观点进一步提高了对男性青少年身体发育健康的重视，被广泛的应用于临床规范诊疗过程中，为青少年外生殖器疾病的发现并规范治疗做出了巨大贡献。</w:t>
      </w:r>
    </w:p>
    <w:p w14:paraId="2FDC4CF2">
      <w:pPr>
        <w:adjustRightInd w:val="0"/>
        <w:snapToGrid w:val="0"/>
        <w:spacing w:line="360" w:lineRule="auto"/>
        <w:jc w:val="both"/>
        <w:rPr>
          <w:rFonts w:hint="default" w:ascii="Times New Roman" w:hAnsi="Times New Roman" w:cs="Times New Roman" w:eastAsiaTheme="majorEastAsia"/>
          <w:b/>
          <w:bCs/>
          <w:color w:val="auto"/>
          <w:spacing w:val="-3"/>
          <w:sz w:val="24"/>
          <w:szCs w:val="24"/>
        </w:rPr>
      </w:pPr>
      <w:r>
        <w:rPr>
          <w:rFonts w:hint="default" w:ascii="Times New Roman" w:hAnsi="Times New Roman" w:cs="Times New Roman" w:eastAsiaTheme="majorEastAsia"/>
          <w:b/>
          <w:bCs/>
          <w:color w:val="auto"/>
          <w:spacing w:val="-3"/>
          <w:sz w:val="24"/>
          <w:szCs w:val="24"/>
        </w:rPr>
        <w:t>（</w:t>
      </w:r>
      <w:r>
        <w:rPr>
          <w:rFonts w:hint="default" w:ascii="Times New Roman" w:hAnsi="Times New Roman" w:cs="Times New Roman" w:eastAsiaTheme="majorEastAsia"/>
          <w:b/>
          <w:bCs/>
          <w:color w:val="auto"/>
          <w:spacing w:val="-3"/>
          <w:sz w:val="24"/>
          <w:szCs w:val="24"/>
          <w:lang w:val="en-US" w:eastAsia="zh-CN"/>
        </w:rPr>
        <w:t>5</w:t>
      </w:r>
      <w:r>
        <w:rPr>
          <w:rFonts w:hint="default" w:ascii="Times New Roman" w:hAnsi="Times New Roman" w:cs="Times New Roman" w:eastAsiaTheme="majorEastAsia"/>
          <w:b/>
          <w:bCs/>
          <w:color w:val="auto"/>
          <w:spacing w:val="-3"/>
          <w:sz w:val="24"/>
          <w:szCs w:val="24"/>
        </w:rPr>
        <w:t>）创新性地构建出标准化、精准化的前列腺穿刺体系</w:t>
      </w:r>
    </w:p>
    <w:p w14:paraId="1FD66E3E">
      <w:pPr>
        <w:adjustRightInd w:val="0"/>
        <w:snapToGrid w:val="0"/>
        <w:spacing w:line="360" w:lineRule="auto"/>
        <w:ind w:firstLine="468" w:firstLineChars="200"/>
        <w:jc w:val="both"/>
        <w:rPr>
          <w:rFonts w:hint="default" w:ascii="Times New Roman" w:hAnsi="Times New Roman" w:cs="Times New Roman" w:eastAsiaTheme="majorEastAsia"/>
          <w:color w:val="auto"/>
          <w:spacing w:val="-3"/>
          <w:sz w:val="24"/>
          <w:szCs w:val="24"/>
        </w:rPr>
      </w:pPr>
      <w:r>
        <w:rPr>
          <w:rFonts w:hint="default" w:ascii="Times New Roman" w:hAnsi="Times New Roman" w:cs="Times New Roman" w:eastAsiaTheme="majorEastAsia"/>
          <w:color w:val="auto"/>
          <w:spacing w:val="-3"/>
          <w:sz w:val="24"/>
          <w:szCs w:val="24"/>
        </w:rPr>
        <w:t>申请人省内最早开展超声引导下前列腺穿刺技术，探索形成“12+X”超声引导下前列腺穿刺模式，即采用12针系统穿刺+X针靶向穿刺的方法，并结合多参数核磁共振进行磁共振-超声认知融合和软件融合的精准穿刺，构建出标准化、精准化的前列腺穿刺体系。目前已形成经直肠和经会阴路径、日间模式和门诊模式、全麻下和局麻下的多层次、多方法、多类型的前列腺穿刺格局。近十年来每年开展前列腺穿刺培训班1-2次（暨安徽省卫生健康适宜技术推广项目《前列腺癌诊疗一体化模式的应用与技术推广》，目前已开展13期），推动上述穿刺技术的临床推广，至今累计培训医院达80余家，培训学员超过200余人，促进规范化前列腺穿刺技术在省内及周边省市医院的开展与基层应用</w:t>
      </w:r>
      <w:r>
        <w:rPr>
          <w:rFonts w:hint="default" w:ascii="Times New Roman" w:hAnsi="Times New Roman" w:cs="Times New Roman" w:eastAsiaTheme="majorEastAsia"/>
          <w:color w:val="auto"/>
          <w:spacing w:val="-3"/>
          <w:sz w:val="24"/>
          <w:szCs w:val="24"/>
          <w:lang w:eastAsia="zh-CN"/>
        </w:rPr>
        <w:t>（</w:t>
      </w:r>
      <w:r>
        <w:rPr>
          <w:rFonts w:hint="default" w:ascii="Times New Roman" w:hAnsi="Times New Roman" w:cs="Times New Roman" w:eastAsiaTheme="majorEastAsia"/>
          <w:color w:val="auto"/>
          <w:spacing w:val="-3"/>
          <w:sz w:val="24"/>
          <w:szCs w:val="24"/>
          <w:lang w:val="en-US" w:eastAsia="zh-CN"/>
        </w:rPr>
        <w:t>图16</w:t>
      </w:r>
      <w:r>
        <w:rPr>
          <w:rFonts w:hint="default" w:ascii="Times New Roman" w:hAnsi="Times New Roman" w:cs="Times New Roman" w:eastAsiaTheme="majorEastAsia"/>
          <w:color w:val="auto"/>
          <w:spacing w:val="-3"/>
          <w:sz w:val="24"/>
          <w:szCs w:val="24"/>
          <w:lang w:eastAsia="zh-CN"/>
        </w:rPr>
        <w:t>）</w:t>
      </w:r>
      <w:r>
        <w:rPr>
          <w:rFonts w:hint="default" w:ascii="Times New Roman" w:hAnsi="Times New Roman" w:cs="Times New Roman" w:eastAsiaTheme="majorEastAsia"/>
          <w:color w:val="auto"/>
          <w:spacing w:val="-3"/>
          <w:sz w:val="24"/>
          <w:szCs w:val="24"/>
        </w:rPr>
        <w:t>。</w:t>
      </w:r>
    </w:p>
    <w:p w14:paraId="701879A2">
      <w:pPr>
        <w:spacing w:line="360" w:lineRule="auto"/>
        <w:ind w:firstLine="468" w:firstLineChars="200"/>
        <w:jc w:val="both"/>
        <w:rPr>
          <w:rFonts w:hint="default" w:ascii="Times New Roman" w:hAnsi="Times New Roman" w:cs="Times New Roman" w:eastAsiaTheme="majorEastAsia"/>
          <w:color w:val="auto"/>
          <w:spacing w:val="-3"/>
          <w:sz w:val="24"/>
          <w:szCs w:val="24"/>
        </w:rPr>
      </w:pPr>
      <w:r>
        <w:rPr>
          <w:rFonts w:hint="default" w:ascii="Times New Roman" w:hAnsi="Times New Roman" w:cs="Times New Roman" w:eastAsiaTheme="majorEastAsia"/>
          <w:color w:val="auto"/>
          <w:spacing w:val="-3"/>
          <w:sz w:val="24"/>
          <w:szCs w:val="24"/>
        </w:rPr>
        <w:drawing>
          <wp:anchor distT="0" distB="0" distL="114300" distR="114300" simplePos="0" relativeHeight="251660288" behindDoc="0" locked="0" layoutInCell="1" allowOverlap="1">
            <wp:simplePos x="0" y="0"/>
            <wp:positionH relativeFrom="column">
              <wp:posOffset>33655</wp:posOffset>
            </wp:positionH>
            <wp:positionV relativeFrom="paragraph">
              <wp:posOffset>22860</wp:posOffset>
            </wp:positionV>
            <wp:extent cx="5271135" cy="2132965"/>
            <wp:effectExtent l="0" t="0" r="12065" b="635"/>
            <wp:wrapTopAndBottom/>
            <wp:docPr id="15" name="图片 1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片1"/>
                    <pic:cNvPicPr>
                      <a:picLocks noChangeAspect="1"/>
                    </pic:cNvPicPr>
                  </pic:nvPicPr>
                  <pic:blipFill>
                    <a:blip r:embed="rId20"/>
                    <a:stretch>
                      <a:fillRect/>
                    </a:stretch>
                  </pic:blipFill>
                  <pic:spPr>
                    <a:xfrm>
                      <a:off x="0" y="0"/>
                      <a:ext cx="5271135" cy="2132965"/>
                    </a:xfrm>
                    <a:prstGeom prst="rect">
                      <a:avLst/>
                    </a:prstGeom>
                  </pic:spPr>
                </pic:pic>
              </a:graphicData>
            </a:graphic>
          </wp:anchor>
        </w:drawing>
      </w:r>
      <w:r>
        <w:rPr>
          <w:rFonts w:hint="default" w:ascii="Times New Roman" w:hAnsi="Times New Roman" w:cs="Times New Roman" w:eastAsiaTheme="majorEastAsia"/>
          <w:color w:val="auto"/>
          <w:spacing w:val="-3"/>
          <w:sz w:val="24"/>
          <w:szCs w:val="24"/>
        </w:rPr>
        <w:t>图</w:t>
      </w:r>
      <w:r>
        <w:rPr>
          <w:rFonts w:hint="default" w:ascii="Times New Roman" w:hAnsi="Times New Roman" w:cs="Times New Roman" w:eastAsiaTheme="majorEastAsia"/>
          <w:color w:val="auto"/>
          <w:spacing w:val="-3"/>
          <w:sz w:val="24"/>
          <w:szCs w:val="24"/>
          <w:lang w:val="en-US" w:eastAsia="zh-CN"/>
        </w:rPr>
        <w:t xml:space="preserve">16. </w:t>
      </w:r>
      <w:r>
        <w:rPr>
          <w:rFonts w:hint="default" w:ascii="Times New Roman" w:hAnsi="Times New Roman" w:cs="Times New Roman" w:eastAsiaTheme="majorEastAsia"/>
          <w:color w:val="auto"/>
          <w:spacing w:val="-3"/>
          <w:sz w:val="24"/>
          <w:szCs w:val="24"/>
        </w:rPr>
        <w:t>超声引导下前列腺穿刺术临床应用及技术推广（穿刺培训班）</w:t>
      </w:r>
    </w:p>
    <w:p w14:paraId="345A1103">
      <w:pPr>
        <w:spacing w:line="360" w:lineRule="auto"/>
        <w:jc w:val="both"/>
        <w:rPr>
          <w:rFonts w:hint="default" w:ascii="Times New Roman" w:hAnsi="Times New Roman" w:cs="Times New Roman" w:eastAsiaTheme="majorEastAsia"/>
          <w:b/>
          <w:bCs/>
          <w:color w:val="auto"/>
          <w:sz w:val="24"/>
          <w:szCs w:val="24"/>
        </w:rPr>
      </w:pPr>
      <w:r>
        <w:rPr>
          <w:rFonts w:hint="default" w:ascii="Times New Roman" w:hAnsi="Times New Roman" w:cs="Times New Roman" w:eastAsiaTheme="majorEastAsia"/>
          <w:b/>
          <w:bCs/>
          <w:color w:val="auto"/>
          <w:spacing w:val="-3"/>
          <w:sz w:val="24"/>
          <w:szCs w:val="24"/>
        </w:rPr>
        <w:t>（</w:t>
      </w:r>
      <w:r>
        <w:rPr>
          <w:rFonts w:hint="default" w:ascii="Times New Roman" w:hAnsi="Times New Roman" w:cs="Times New Roman" w:eastAsiaTheme="majorEastAsia"/>
          <w:b/>
          <w:bCs/>
          <w:color w:val="auto"/>
          <w:spacing w:val="-3"/>
          <w:sz w:val="24"/>
          <w:szCs w:val="24"/>
          <w:lang w:val="en-US" w:eastAsia="zh-CN"/>
        </w:rPr>
        <w:t>6</w:t>
      </w:r>
      <w:r>
        <w:rPr>
          <w:rFonts w:hint="default" w:ascii="Times New Roman" w:hAnsi="Times New Roman" w:cs="Times New Roman" w:eastAsiaTheme="majorEastAsia"/>
          <w:b/>
          <w:bCs/>
          <w:color w:val="auto"/>
          <w:spacing w:val="-3"/>
          <w:sz w:val="24"/>
          <w:szCs w:val="24"/>
        </w:rPr>
        <w:t>）省内率先开展单臂单孔机器人辅助前列腺根治术</w:t>
      </w:r>
    </w:p>
    <w:p w14:paraId="43FBDE6F">
      <w:pPr>
        <w:spacing w:line="360" w:lineRule="auto"/>
        <w:ind w:firstLine="468" w:firstLineChars="200"/>
        <w:jc w:val="both"/>
        <w:rPr>
          <w:rFonts w:hint="default" w:ascii="Times New Roman" w:hAnsi="Times New Roman" w:cs="Times New Roman" w:eastAsiaTheme="majorEastAsia"/>
          <w:color w:val="auto"/>
          <w:spacing w:val="-3"/>
          <w:sz w:val="24"/>
          <w:szCs w:val="24"/>
        </w:rPr>
      </w:pPr>
      <w:r>
        <w:rPr>
          <w:rFonts w:hint="default" w:ascii="Times New Roman" w:hAnsi="Times New Roman" w:cs="Times New Roman" w:eastAsiaTheme="majorEastAsia"/>
          <w:color w:val="auto"/>
          <w:spacing w:val="-3"/>
          <w:sz w:val="24"/>
          <w:szCs w:val="24"/>
          <w:lang w:val="en-US" w:eastAsia="zh-CN"/>
        </w:rPr>
        <w:t>候选人</w:t>
      </w:r>
      <w:r>
        <w:rPr>
          <w:rFonts w:hint="default" w:ascii="Times New Roman" w:hAnsi="Times New Roman" w:cs="Times New Roman" w:eastAsiaTheme="majorEastAsia"/>
          <w:color w:val="auto"/>
          <w:spacing w:val="-3"/>
          <w:sz w:val="24"/>
          <w:szCs w:val="24"/>
        </w:rPr>
        <w:t>成功开展安徽省首例经腹膜外单臂单孔机器人辅助腹腔镜下根治性前列腺切除术。目前单孔机器人手术国内仅数家医院开展，该创新性术式的成功实施，不仅为前列腺癌患者构建了更精准、更微创的治疗方案，更标志着安徽省微创外科诊疗技术正式迈入国际先进水平行列。依托单孔单臂机器人技术平台的临床应用，安医大一附院泌尿外科团队在实现手术创伤最小化的同时，成功为区域泌尿外科疾病诊疗树立了新的技术标杆。此次手术不仅是安徽省经腹膜外入路单臂单孔机器人前列腺根治术的首例突破，更构建起安徽省微创外科技术发展的新坐标。随着医疗技术的发展，患者对手术“创伤小、恢复快、美观性好”的追求也在进步。单臂单孔机器人手术在机器人辅助腹腔镜手术的基础上更加精细、更微创，代表最前沿的微创技术发展方向。未来，随着单臂单孔机器人技术的普及，科室将持续推进机器人手术精准化、微创化、智能化发展，逐步形成自己的科室特色，加速创新术式在长三角地区乃至全国的规范化推广，让更多患者受益于微创外科的技术革新。</w:t>
      </w:r>
    </w:p>
    <w:p w14:paraId="6E26A573">
      <w:pPr>
        <w:adjustRightInd w:val="0"/>
        <w:snapToGrid w:val="0"/>
        <w:spacing w:line="360" w:lineRule="auto"/>
        <w:jc w:val="center"/>
        <w:rPr>
          <w:rFonts w:hint="default" w:ascii="Times New Roman" w:hAnsi="Times New Roman" w:cs="Times New Roman" w:eastAsiaTheme="majorEastAsia"/>
          <w:color w:val="auto"/>
          <w:spacing w:val="-3"/>
          <w:sz w:val="24"/>
          <w:szCs w:val="24"/>
        </w:rPr>
      </w:pPr>
      <w:r>
        <w:rPr>
          <w:rFonts w:hint="default" w:ascii="Times New Roman" w:hAnsi="Times New Roman" w:cs="Times New Roman" w:eastAsiaTheme="majorEastAsia"/>
          <w:color w:val="auto"/>
          <w:spacing w:val="-3"/>
          <w:sz w:val="24"/>
          <w:szCs w:val="24"/>
        </w:rPr>
        <w:drawing>
          <wp:inline distT="0" distB="0" distL="0" distR="0">
            <wp:extent cx="3223895" cy="2154555"/>
            <wp:effectExtent l="0" t="0" r="1905" b="4445"/>
            <wp:docPr id="8724455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445535" name="图片 2"/>
                    <pic:cNvPicPr>
                      <a:picLocks noChangeAspect="1" noChangeArrowheads="1"/>
                    </pic:cNvPicPr>
                  </pic:nvPicPr>
                  <pic:blipFill>
                    <a:blip r:embed="rId21"/>
                    <a:srcRect/>
                    <a:stretch>
                      <a:fillRect/>
                    </a:stretch>
                  </pic:blipFill>
                  <pic:spPr>
                    <a:xfrm>
                      <a:off x="0" y="0"/>
                      <a:ext cx="3223895" cy="2154555"/>
                    </a:xfrm>
                    <a:prstGeom prst="rect">
                      <a:avLst/>
                    </a:prstGeom>
                    <a:noFill/>
                    <a:ln>
                      <a:noFill/>
                    </a:ln>
                  </pic:spPr>
                </pic:pic>
              </a:graphicData>
            </a:graphic>
          </wp:inline>
        </w:drawing>
      </w:r>
    </w:p>
    <w:p w14:paraId="102CA909">
      <w:pPr>
        <w:adjustRightInd w:val="0"/>
        <w:snapToGrid w:val="0"/>
        <w:spacing w:line="360" w:lineRule="auto"/>
        <w:jc w:val="center"/>
        <w:rPr>
          <w:rFonts w:hint="default" w:ascii="Times New Roman" w:hAnsi="Times New Roman" w:cs="Times New Roman" w:eastAsiaTheme="majorEastAsia"/>
          <w:color w:val="auto"/>
          <w:spacing w:val="-3"/>
          <w:sz w:val="24"/>
          <w:szCs w:val="24"/>
        </w:rPr>
      </w:pPr>
      <w:r>
        <w:rPr>
          <w:rFonts w:hint="default" w:ascii="Times New Roman" w:hAnsi="Times New Roman" w:cs="Times New Roman" w:eastAsiaTheme="majorEastAsia"/>
          <w:color w:val="auto"/>
          <w:spacing w:val="-3"/>
          <w:sz w:val="24"/>
          <w:szCs w:val="24"/>
        </w:rPr>
        <w:t>图</w:t>
      </w:r>
      <w:r>
        <w:rPr>
          <w:rFonts w:hint="default" w:ascii="Times New Roman" w:hAnsi="Times New Roman" w:cs="Times New Roman" w:eastAsiaTheme="majorEastAsia"/>
          <w:color w:val="auto"/>
          <w:spacing w:val="-3"/>
          <w:sz w:val="24"/>
          <w:szCs w:val="24"/>
          <w:lang w:val="en-US" w:eastAsia="zh-CN"/>
        </w:rPr>
        <w:t xml:space="preserve">17. </w:t>
      </w:r>
      <w:r>
        <w:rPr>
          <w:rFonts w:hint="default" w:ascii="Times New Roman" w:hAnsi="Times New Roman" w:cs="Times New Roman" w:eastAsiaTheme="majorEastAsia"/>
          <w:color w:val="auto"/>
          <w:spacing w:val="-3"/>
          <w:sz w:val="24"/>
          <w:szCs w:val="24"/>
        </w:rPr>
        <w:t>申请人操作单臂单孔机器人行前列腺癌根治术</w:t>
      </w:r>
    </w:p>
    <w:p w14:paraId="58BA37C0">
      <w:pPr>
        <w:adjustRightInd w:val="0"/>
        <w:snapToGrid w:val="0"/>
        <w:spacing w:line="360" w:lineRule="auto"/>
        <w:rPr>
          <w:rFonts w:hint="default" w:ascii="Times New Roman" w:hAnsi="Times New Roman" w:eastAsia="宋体" w:cs="Times New Roman"/>
          <w:b/>
          <w:bCs/>
          <w:spacing w:val="-3"/>
          <w:sz w:val="24"/>
          <w:szCs w:val="24"/>
        </w:rPr>
      </w:pPr>
      <w:r>
        <w:rPr>
          <w:rFonts w:hint="default" w:ascii="Times New Roman" w:hAnsi="Times New Roman" w:eastAsia="宋体" w:cs="Times New Roman"/>
          <w:b/>
          <w:bCs/>
          <w:spacing w:val="-3"/>
          <w:sz w:val="24"/>
          <w:szCs w:val="24"/>
        </w:rPr>
        <w:t>（</w:t>
      </w:r>
      <w:r>
        <w:rPr>
          <w:rFonts w:hint="default" w:ascii="Times New Roman" w:hAnsi="Times New Roman" w:eastAsia="宋体" w:cs="Times New Roman"/>
          <w:b/>
          <w:bCs/>
          <w:spacing w:val="-3"/>
          <w:sz w:val="24"/>
          <w:szCs w:val="24"/>
          <w:lang w:val="en-US" w:eastAsia="zh-CN"/>
        </w:rPr>
        <w:t>7</w:t>
      </w:r>
      <w:r>
        <w:rPr>
          <w:rFonts w:hint="default" w:ascii="Times New Roman" w:hAnsi="Times New Roman" w:eastAsia="宋体" w:cs="Times New Roman"/>
          <w:b/>
          <w:bCs/>
          <w:spacing w:val="-3"/>
          <w:sz w:val="24"/>
          <w:szCs w:val="24"/>
        </w:rPr>
        <w:t>）首次开展</w:t>
      </w:r>
      <w:bookmarkStart w:id="2" w:name="OLE_LINK6"/>
      <w:r>
        <w:rPr>
          <w:rFonts w:hint="default" w:ascii="Times New Roman" w:hAnsi="Times New Roman" w:eastAsia="宋体" w:cs="Times New Roman"/>
          <w:b/>
          <w:bCs/>
          <w:spacing w:val="-3"/>
          <w:sz w:val="24"/>
          <w:szCs w:val="24"/>
        </w:rPr>
        <w:t>全国多中心临床研究验证远程机器人手术有效性、安全性</w:t>
      </w:r>
      <w:bookmarkEnd w:id="2"/>
    </w:p>
    <w:p w14:paraId="4FCC3B06">
      <w:pPr>
        <w:adjustRightInd w:val="0"/>
        <w:snapToGrid w:val="0"/>
        <w:spacing w:line="360" w:lineRule="auto"/>
        <w:ind w:firstLine="468" w:firstLineChars="200"/>
        <w:rPr>
          <w:rFonts w:hint="default" w:ascii="Times New Roman" w:hAnsi="Times New Roman" w:eastAsia="宋体" w:cs="Times New Roman"/>
          <w:spacing w:val="-3"/>
          <w:sz w:val="24"/>
          <w:szCs w:val="24"/>
        </w:rPr>
      </w:pPr>
      <w:r>
        <w:rPr>
          <w:rFonts w:hint="default" w:ascii="Times New Roman" w:hAnsi="Times New Roman" w:eastAsia="宋体" w:cs="Times New Roman"/>
          <w:spacing w:val="-3"/>
          <w:sz w:val="24"/>
          <w:szCs w:val="24"/>
          <w:lang w:val="en-US" w:eastAsia="zh-CN"/>
        </w:rPr>
        <w:t>候选人</w:t>
      </w:r>
      <w:r>
        <w:rPr>
          <w:rFonts w:hint="default" w:ascii="Times New Roman" w:hAnsi="Times New Roman" w:eastAsia="宋体" w:cs="Times New Roman"/>
          <w:spacing w:val="-3"/>
          <w:sz w:val="24"/>
          <w:szCs w:val="24"/>
        </w:rPr>
        <w:t>最早开展安徽省正向5G远程机器人手术，连线1000余公里外的北京解放军301医院，完成1例远程机器人前列腺癌根治术，1例远程机器人肾部分切除术。随后，申报者作为全国多中心研究组长，联合中国人民解放军总医院、哈尔滨医科大学附属肿瘤医院、浙江大学医学院附属第一医院，牵头开展</w:t>
      </w:r>
      <w:bookmarkStart w:id="3" w:name="OLE_LINK4"/>
      <w:r>
        <w:rPr>
          <w:rFonts w:hint="default" w:ascii="Times New Roman" w:hAnsi="Times New Roman" w:eastAsia="宋体" w:cs="Times New Roman"/>
          <w:spacing w:val="-3"/>
          <w:sz w:val="24"/>
          <w:szCs w:val="24"/>
        </w:rPr>
        <w:t>远程机器人手术安全性和有效性的临床研究</w:t>
      </w:r>
      <w:bookmarkEnd w:id="3"/>
      <w:r>
        <w:rPr>
          <w:rFonts w:hint="default" w:ascii="Times New Roman" w:hAnsi="Times New Roman" w:eastAsia="宋体" w:cs="Times New Roman"/>
          <w:spacing w:val="-3"/>
          <w:sz w:val="24"/>
          <w:szCs w:val="24"/>
        </w:rPr>
        <w:t>。已经完成18例远程机器人手术，其中11例前列腺癌根治术，7例肾部分切除术，均成功完成。远程手术跨度最远2200km。远程手术过程中平均实时网络延迟38.38±13.25 ms、网络抖动0.39±0.29 ms、视频编码解码延迟20.02±0.06 ms、网络丢包12.77±0.57 mbps、视频显示延迟21.35±3.42 ms</w:t>
      </w:r>
      <w:r>
        <w:rPr>
          <w:rFonts w:hint="eastAsia" w:ascii="Times New Roman" w:hAnsi="Times New Roman" w:eastAsia="宋体" w:cs="Times New Roman"/>
          <w:spacing w:val="-3"/>
          <w:sz w:val="24"/>
          <w:szCs w:val="24"/>
          <w:lang w:eastAsia="zh-CN"/>
        </w:rPr>
        <w:t>（</w:t>
      </w:r>
      <w:r>
        <w:rPr>
          <w:rFonts w:hint="eastAsia" w:ascii="Times New Roman" w:hAnsi="Times New Roman" w:eastAsia="宋体" w:cs="Times New Roman"/>
          <w:spacing w:val="-3"/>
          <w:sz w:val="24"/>
          <w:szCs w:val="24"/>
          <w:lang w:val="en-US" w:eastAsia="zh-CN"/>
        </w:rPr>
        <w:t>图18</w:t>
      </w:r>
      <w:r>
        <w:rPr>
          <w:rFonts w:hint="eastAsia"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rPr>
        <w:t>。该多中心验证了国产远程机器人手术的有效性、安全性，</w:t>
      </w:r>
      <w:r>
        <w:rPr>
          <w:rFonts w:hint="default" w:ascii="Times New Roman" w:hAnsi="Times New Roman" w:eastAsia="宋体" w:cs="Times New Roman"/>
          <w:sz w:val="24"/>
          <w:szCs w:val="24"/>
        </w:rPr>
        <w:t>目前研究成果已被International Journal of Surgery接受待发表。</w:t>
      </w:r>
    </w:p>
    <w:p w14:paraId="52DC8F38">
      <w:pPr>
        <w:adjustRightInd w:val="0"/>
        <w:snapToGrid w:val="0"/>
        <w:spacing w:line="360" w:lineRule="auto"/>
        <w:jc w:val="center"/>
        <w:rPr>
          <w:rFonts w:hint="default" w:ascii="Times New Roman" w:hAnsi="Times New Roman" w:eastAsia="宋体" w:cs="Times New Roman"/>
          <w:spacing w:val="-3"/>
          <w:sz w:val="24"/>
          <w:szCs w:val="24"/>
        </w:rPr>
      </w:pPr>
      <w:r>
        <w:rPr>
          <w:rFonts w:hint="default" w:ascii="Times New Roman" w:hAnsi="Times New Roman" w:eastAsia="宋体" w:cs="Times New Roman"/>
          <w:sz w:val="24"/>
          <w:szCs w:val="24"/>
        </w:rPr>
        <w:drawing>
          <wp:inline distT="0" distB="0" distL="0" distR="0">
            <wp:extent cx="3302635" cy="2199640"/>
            <wp:effectExtent l="0" t="0" r="12065" b="1016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2"/>
                    <a:srcRect/>
                    <a:stretch>
                      <a:fillRect/>
                    </a:stretch>
                  </pic:blipFill>
                  <pic:spPr>
                    <a:xfrm>
                      <a:off x="0" y="0"/>
                      <a:ext cx="3357395" cy="2236261"/>
                    </a:xfrm>
                    <a:prstGeom prst="rect">
                      <a:avLst/>
                    </a:prstGeom>
                    <a:noFill/>
                  </pic:spPr>
                </pic:pic>
              </a:graphicData>
            </a:graphic>
          </wp:inline>
        </w:drawing>
      </w:r>
    </w:p>
    <w:p w14:paraId="74CAC781">
      <w:pPr>
        <w:adjustRightInd w:val="0"/>
        <w:snapToGrid w:val="0"/>
        <w:spacing w:line="360" w:lineRule="auto"/>
        <w:jc w:val="center"/>
        <w:rPr>
          <w:rFonts w:hint="default" w:ascii="Times New Roman" w:hAnsi="Times New Roman" w:eastAsia="宋体" w:cs="Times New Roman"/>
          <w:spacing w:val="-3"/>
          <w:sz w:val="24"/>
          <w:szCs w:val="24"/>
        </w:rPr>
      </w:pPr>
      <w:r>
        <w:rPr>
          <w:rFonts w:hint="default" w:ascii="Times New Roman" w:hAnsi="Times New Roman" w:eastAsia="宋体" w:cs="Times New Roman"/>
          <w:spacing w:val="-3"/>
          <w:sz w:val="24"/>
          <w:szCs w:val="24"/>
        </w:rPr>
        <w:t>图</w:t>
      </w:r>
      <w:r>
        <w:rPr>
          <w:rFonts w:hint="eastAsia" w:ascii="Times New Roman" w:hAnsi="Times New Roman" w:eastAsia="宋体" w:cs="Times New Roman"/>
          <w:spacing w:val="-3"/>
          <w:sz w:val="24"/>
          <w:szCs w:val="24"/>
          <w:lang w:val="en-US" w:eastAsia="zh-CN"/>
        </w:rPr>
        <w:t xml:space="preserve">18. </w:t>
      </w:r>
      <w:r>
        <w:rPr>
          <w:rFonts w:hint="default" w:ascii="Times New Roman" w:hAnsi="Times New Roman" w:eastAsia="宋体" w:cs="Times New Roman"/>
          <w:spacing w:val="-3"/>
          <w:sz w:val="24"/>
          <w:szCs w:val="24"/>
        </w:rPr>
        <w:t>全国多中心临床研究验证远程机器人手术有效性、安全性</w:t>
      </w:r>
    </w:p>
    <w:p w14:paraId="092FA60E">
      <w:pPr>
        <w:adjustRightInd w:val="0"/>
        <w:snapToGrid w:val="0"/>
        <w:spacing w:line="360" w:lineRule="auto"/>
        <w:jc w:val="both"/>
        <w:rPr>
          <w:rFonts w:hint="default" w:ascii="Times New Roman" w:hAnsi="Times New Roman" w:cs="Times New Roman" w:eastAsiaTheme="majorEastAsia"/>
          <w:color w:val="auto"/>
          <w:spacing w:val="-3"/>
          <w:sz w:val="24"/>
          <w:szCs w:val="24"/>
          <w:lang w:val="en-US" w:eastAsia="zh-CN"/>
        </w:rPr>
      </w:pPr>
    </w:p>
    <w:p w14:paraId="7C93C35B">
      <w:pPr>
        <w:adjustRightInd w:val="0"/>
        <w:snapToGrid w:val="0"/>
        <w:spacing w:line="360" w:lineRule="auto"/>
        <w:ind w:firstLine="468" w:firstLineChars="200"/>
        <w:jc w:val="both"/>
        <w:rPr>
          <w:rFonts w:hint="default" w:ascii="Times New Roman" w:hAnsi="Times New Roman" w:cs="Times New Roman" w:eastAsiaTheme="majorEastAsia"/>
          <w:color w:val="auto"/>
          <w:spacing w:val="-3"/>
          <w:sz w:val="24"/>
          <w:szCs w:val="24"/>
        </w:rPr>
      </w:pPr>
      <w:r>
        <w:rPr>
          <w:rFonts w:hint="default" w:ascii="Times New Roman" w:hAnsi="Times New Roman" w:cs="Times New Roman" w:eastAsiaTheme="majorEastAsia"/>
          <w:color w:val="auto"/>
          <w:spacing w:val="-3"/>
          <w:sz w:val="24"/>
          <w:szCs w:val="24"/>
          <w:lang w:val="en-US" w:eastAsia="zh-CN"/>
        </w:rPr>
        <w:t>候选人</w:t>
      </w:r>
      <w:r>
        <w:rPr>
          <w:rFonts w:hint="default" w:ascii="Times New Roman" w:hAnsi="Times New Roman" w:cs="Times New Roman" w:eastAsiaTheme="majorEastAsia"/>
          <w:color w:val="auto"/>
          <w:spacing w:val="-3"/>
          <w:sz w:val="24"/>
          <w:szCs w:val="24"/>
        </w:rPr>
        <w:t>现任泌尿男科疾病研究与医学转化安徽省重点实验室主任，</w:t>
      </w:r>
      <w:r>
        <w:rPr>
          <w:rFonts w:hint="default" w:ascii="Times New Roman" w:hAnsi="Times New Roman" w:cs="Times New Roman" w:eastAsiaTheme="majorEastAsia"/>
          <w:color w:val="auto"/>
          <w:spacing w:val="-3"/>
          <w:sz w:val="24"/>
          <w:szCs w:val="24"/>
          <w:lang w:val="en-US" w:eastAsia="zh-CN"/>
        </w:rPr>
        <w:t>兼任</w:t>
      </w:r>
      <w:r>
        <w:rPr>
          <w:rFonts w:hint="default" w:ascii="Times New Roman" w:hAnsi="Times New Roman" w:cs="Times New Roman" w:eastAsiaTheme="majorEastAsia"/>
          <w:color w:val="auto"/>
          <w:spacing w:val="-3"/>
          <w:sz w:val="24"/>
          <w:szCs w:val="24"/>
        </w:rPr>
        <w:t>亚洲男科学协会副主席</w:t>
      </w:r>
      <w:r>
        <w:rPr>
          <w:rFonts w:hint="default" w:ascii="Times New Roman" w:hAnsi="Times New Roman" w:cs="Times New Roman" w:eastAsiaTheme="majorEastAsia"/>
          <w:color w:val="auto"/>
          <w:spacing w:val="-3"/>
          <w:sz w:val="24"/>
          <w:szCs w:val="24"/>
          <w:lang w:eastAsia="zh-CN"/>
        </w:rPr>
        <w:t>、</w:t>
      </w:r>
      <w:r>
        <w:rPr>
          <w:rFonts w:hint="default" w:ascii="Times New Roman" w:hAnsi="Times New Roman" w:cs="Times New Roman" w:eastAsiaTheme="majorEastAsia"/>
          <w:color w:val="auto"/>
          <w:spacing w:val="-3"/>
          <w:sz w:val="24"/>
          <w:szCs w:val="24"/>
        </w:rPr>
        <w:t>中国医师协会男科与性医学医师分会会长</w:t>
      </w:r>
      <w:r>
        <w:rPr>
          <w:rFonts w:hint="default" w:ascii="Times New Roman" w:hAnsi="Times New Roman" w:cs="Times New Roman" w:eastAsiaTheme="majorEastAsia"/>
          <w:color w:val="auto"/>
          <w:spacing w:val="-3"/>
          <w:sz w:val="24"/>
          <w:szCs w:val="24"/>
          <w:lang w:eastAsia="zh-CN"/>
        </w:rPr>
        <w:t>、</w:t>
      </w:r>
      <w:r>
        <w:rPr>
          <w:rFonts w:hint="default" w:ascii="Times New Roman" w:hAnsi="Times New Roman" w:cs="Times New Roman" w:eastAsiaTheme="majorEastAsia"/>
          <w:color w:val="auto"/>
          <w:spacing w:val="-3"/>
          <w:sz w:val="24"/>
          <w:szCs w:val="24"/>
        </w:rPr>
        <w:t>安徽省医师协会会长</w:t>
      </w:r>
      <w:r>
        <w:rPr>
          <w:rFonts w:hint="default" w:ascii="Times New Roman" w:hAnsi="Times New Roman" w:cs="Times New Roman" w:eastAsiaTheme="majorEastAsia"/>
          <w:color w:val="auto"/>
          <w:spacing w:val="-3"/>
          <w:sz w:val="24"/>
          <w:szCs w:val="24"/>
          <w:lang w:eastAsia="zh-CN"/>
        </w:rPr>
        <w:t>、</w:t>
      </w:r>
      <w:r>
        <w:rPr>
          <w:rFonts w:hint="default" w:ascii="Times New Roman" w:hAnsi="Times New Roman" w:cs="Times New Roman" w:eastAsiaTheme="majorEastAsia"/>
          <w:color w:val="auto"/>
          <w:spacing w:val="-3"/>
          <w:sz w:val="24"/>
          <w:szCs w:val="24"/>
        </w:rPr>
        <w:t>安徽省医师协会泌尿外科学分会主任委员</w:t>
      </w:r>
      <w:r>
        <w:rPr>
          <w:rFonts w:hint="default" w:ascii="Times New Roman" w:hAnsi="Times New Roman" w:cs="Times New Roman" w:eastAsiaTheme="majorEastAsia"/>
          <w:color w:val="auto"/>
          <w:spacing w:val="-3"/>
          <w:sz w:val="24"/>
          <w:szCs w:val="24"/>
          <w:lang w:val="en-US" w:eastAsia="zh-CN"/>
        </w:rPr>
        <w:t>等</w:t>
      </w:r>
      <w:r>
        <w:rPr>
          <w:rFonts w:hint="default" w:ascii="Times New Roman" w:hAnsi="Times New Roman" w:cs="Times New Roman" w:eastAsiaTheme="majorEastAsia"/>
          <w:color w:val="auto"/>
          <w:spacing w:val="-3"/>
          <w:sz w:val="24"/>
          <w:szCs w:val="24"/>
        </w:rPr>
        <w:t>。被评为安徽省“江淮十大杰出青年”，2007年入选“新世纪百千万人才工程”国家级人选，2008年被评为“卫生部有突出贡献中青年专家”，同年获“抗震救灾、重建家园”全国五一劳动奖状，2009年被评为“安徽省学术和技术带头人”，2010年享受国务院特殊津贴，2014年被授予中国微创泌尿外科领域最高奖——“金膀胱镜奖”，2014年荣获“全国优秀科技工作者”称号，2017年荣获中国泌尿外科领域最高奖——“吴阶平泌尿外科医学奖”，2018年荣获“国之名医·卓越建树”称号，2020年荣获“郭应禄男科学奖”，2020年获“亚洲男科杰出贡献”荣誉称号，2022年获“安徽最美科技工作者”称号，2024年入选“安徽省杰出人才”，同年获第七届“世界杰出华人医师霍英东奖”</w:t>
      </w:r>
      <w:r>
        <w:rPr>
          <w:rFonts w:hint="default" w:ascii="Times New Roman" w:hAnsi="Times New Roman" w:cs="Times New Roman" w:eastAsiaTheme="majorEastAsia"/>
          <w:color w:val="auto"/>
          <w:spacing w:val="-3"/>
          <w:sz w:val="24"/>
          <w:szCs w:val="24"/>
          <w:lang w:val="en-US" w:eastAsia="zh-CN"/>
        </w:rPr>
        <w:t>及第一届“国家杰出医师”称号</w:t>
      </w:r>
      <w:r>
        <w:rPr>
          <w:rFonts w:hint="default" w:ascii="Times New Roman" w:hAnsi="Times New Roman" w:cs="Times New Roman" w:eastAsiaTheme="majorEastAsia"/>
          <w:color w:val="auto"/>
          <w:spacing w:val="-3"/>
          <w:sz w:val="24"/>
          <w:szCs w:val="24"/>
        </w:rPr>
        <w:t>。</w:t>
      </w:r>
    </w:p>
    <w:p w14:paraId="12B9129E">
      <w:pPr>
        <w:adjustRightInd w:val="0"/>
        <w:snapToGrid w:val="0"/>
        <w:spacing w:line="360" w:lineRule="auto"/>
        <w:ind w:firstLine="468" w:firstLineChars="200"/>
        <w:jc w:val="both"/>
        <w:rPr>
          <w:rFonts w:hint="eastAsia" w:ascii="Times New Roman" w:hAnsi="Times New Roman" w:cs="Times New Roman" w:eastAsiaTheme="majorEastAsia"/>
          <w:color w:val="auto"/>
          <w:spacing w:val="-3"/>
          <w:sz w:val="24"/>
          <w:szCs w:val="24"/>
          <w:lang w:val="en-US" w:eastAsia="zh-CN"/>
        </w:rPr>
      </w:pPr>
      <w:r>
        <w:rPr>
          <w:rFonts w:hint="default" w:ascii="Times New Roman" w:hAnsi="Times New Roman" w:cs="Times New Roman" w:eastAsiaTheme="majorEastAsia"/>
          <w:color w:val="auto"/>
          <w:spacing w:val="-3"/>
          <w:sz w:val="24"/>
          <w:szCs w:val="24"/>
          <w:lang w:val="en-US" w:eastAsia="zh-CN"/>
        </w:rPr>
        <w:t>创新多项术式，</w:t>
      </w:r>
      <w:r>
        <w:rPr>
          <w:rFonts w:hint="default" w:ascii="Times New Roman" w:hAnsi="Times New Roman" w:cs="Times New Roman" w:eastAsiaTheme="majorEastAsia"/>
          <w:color w:val="auto"/>
          <w:spacing w:val="-3"/>
          <w:sz w:val="24"/>
          <w:szCs w:val="24"/>
        </w:rPr>
        <w:t>近年来多次受邀到北京、上海、广州、武汉、西安、天津、重庆、南京、杭州、济南、南昌、深圳、兰州等地进行手术演示</w:t>
      </w:r>
      <w:r>
        <w:rPr>
          <w:rFonts w:hint="default" w:ascii="Times New Roman" w:hAnsi="Times New Roman" w:cs="Times New Roman" w:eastAsiaTheme="majorEastAsia"/>
          <w:color w:val="auto"/>
          <w:spacing w:val="-3"/>
          <w:sz w:val="24"/>
          <w:szCs w:val="24"/>
          <w:lang w:val="en-US" w:eastAsia="zh-CN"/>
        </w:rPr>
        <w:t>200余次</w:t>
      </w:r>
      <w:r>
        <w:rPr>
          <w:rFonts w:hint="default" w:ascii="Times New Roman" w:hAnsi="Times New Roman" w:cs="Times New Roman" w:eastAsiaTheme="majorEastAsia"/>
          <w:color w:val="auto"/>
          <w:spacing w:val="-3"/>
          <w:sz w:val="24"/>
          <w:szCs w:val="24"/>
        </w:rPr>
        <w:t>，并受邀在国内外进行学术报告，介绍推广手术经验和学术成果。担任国家自然科学基金（重点项目、杰出青年基金、面上项目）等科研项目函评、会评专家，以及国家科技进步奖、教育部科技奖等国家级、省（部）级科技奖励评审专家。</w:t>
      </w:r>
      <w:r>
        <w:rPr>
          <w:rFonts w:hint="default" w:ascii="Times New Roman" w:hAnsi="Times New Roman" w:cs="Times New Roman" w:eastAsiaTheme="majorEastAsia"/>
          <w:color w:val="auto"/>
          <w:spacing w:val="-3"/>
          <w:sz w:val="24"/>
          <w:szCs w:val="24"/>
          <w:lang w:val="en-US" w:eastAsia="zh-CN"/>
        </w:rPr>
        <w:t>主持完成省部级科技奖一等奖4项、二等奖4项，培养博士后、博士、硕士150余名，以第一/通讯作者</w:t>
      </w:r>
      <w:r>
        <w:rPr>
          <w:rFonts w:hint="default" w:ascii="Times New Roman" w:hAnsi="Times New Roman" w:cs="Times New Roman" w:eastAsiaTheme="majorEastAsia"/>
          <w:color w:val="auto"/>
          <w:spacing w:val="-3"/>
          <w:sz w:val="24"/>
          <w:szCs w:val="24"/>
        </w:rPr>
        <w:t>在</w:t>
      </w:r>
      <w:r>
        <w:rPr>
          <w:rFonts w:hint="default" w:ascii="Times New Roman" w:hAnsi="Times New Roman" w:cs="Times New Roman" w:eastAsiaTheme="majorEastAsia"/>
          <w:color w:val="auto"/>
          <w:spacing w:val="-3"/>
          <w:sz w:val="24"/>
          <w:szCs w:val="24"/>
          <w:lang w:eastAsia="zh-CN"/>
        </w:rPr>
        <w:t>《</w:t>
      </w:r>
      <w:r>
        <w:rPr>
          <w:rFonts w:hint="default" w:ascii="Times New Roman" w:hAnsi="Times New Roman" w:cs="Times New Roman" w:eastAsiaTheme="majorEastAsia"/>
          <w:color w:val="auto"/>
          <w:spacing w:val="-3"/>
          <w:sz w:val="24"/>
          <w:szCs w:val="24"/>
          <w:lang w:val="en-US" w:eastAsia="zh-CN"/>
        </w:rPr>
        <w:t>Cancer Cell</w:t>
      </w:r>
      <w:r>
        <w:rPr>
          <w:rFonts w:hint="default" w:ascii="Times New Roman" w:hAnsi="Times New Roman" w:cs="Times New Roman" w:eastAsiaTheme="majorEastAsia"/>
          <w:color w:val="auto"/>
          <w:spacing w:val="-3"/>
          <w:sz w:val="24"/>
          <w:szCs w:val="24"/>
          <w:lang w:eastAsia="zh-CN"/>
        </w:rPr>
        <w:t>》、</w:t>
      </w:r>
      <w:r>
        <w:rPr>
          <w:rFonts w:hint="default" w:ascii="Times New Roman" w:hAnsi="Times New Roman" w:cs="Times New Roman" w:eastAsiaTheme="majorEastAsia"/>
          <w:color w:val="auto"/>
          <w:spacing w:val="-3"/>
          <w:sz w:val="24"/>
          <w:szCs w:val="24"/>
        </w:rPr>
        <w:t>《iMeta》、《Molecular Cancer》等</w:t>
      </w:r>
      <w:r>
        <w:rPr>
          <w:rFonts w:hint="default" w:ascii="Times New Roman" w:hAnsi="Times New Roman" w:cs="Times New Roman" w:eastAsiaTheme="majorEastAsia"/>
          <w:color w:val="auto"/>
          <w:spacing w:val="-3"/>
          <w:sz w:val="24"/>
          <w:szCs w:val="24"/>
          <w:lang w:val="en-US" w:eastAsia="zh-CN"/>
        </w:rPr>
        <w:t>SCI发表论文272篇，出版著作10余部、担任最新版指南共识、本科生、研究生及规培教材副主编或编委</w:t>
      </w:r>
      <w:r>
        <w:rPr>
          <w:rFonts w:hint="eastAsia" w:ascii="Times New Roman" w:hAnsi="Times New Roman" w:cs="Times New Roman" w:eastAsiaTheme="majorEastAsia"/>
          <w:color w:val="auto"/>
          <w:spacing w:val="-3"/>
          <w:sz w:val="24"/>
          <w:szCs w:val="24"/>
          <w:lang w:val="en-US" w:eastAsia="zh-CN"/>
        </w:rPr>
        <w:t>。</w:t>
      </w:r>
    </w:p>
    <w:tbl>
      <w:tblPr>
        <w:tblStyle w:val="11"/>
        <w:tblpPr w:leftFromText="180" w:rightFromText="180" w:vertAnchor="page" w:horzAnchor="page" w:tblpX="1980" w:tblpY="7522"/>
        <w:tblOverlap w:val="never"/>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5"/>
        <w:gridCol w:w="2385"/>
        <w:gridCol w:w="1755"/>
        <w:gridCol w:w="3270"/>
      </w:tblGrid>
      <w:tr w14:paraId="18B42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5" w:type="dxa"/>
          </w:tcPr>
          <w:p w14:paraId="0B438526">
            <w:pPr>
              <w:keepNext w:val="0"/>
              <w:keepLines w:val="0"/>
              <w:pageBreakBefore w:val="0"/>
              <w:widowControl/>
              <w:kinsoku/>
              <w:wordWrap/>
              <w:overflowPunct/>
              <w:topLinePunct w:val="0"/>
              <w:autoSpaceDE/>
              <w:autoSpaceDN/>
              <w:bidi w:val="0"/>
              <w:spacing w:line="580" w:lineRule="exact"/>
              <w:jc w:val="center"/>
              <w:textAlignment w:val="top"/>
              <w:rPr>
                <w:rFonts w:ascii="方正仿宋_GB2312" w:hAnsi="方正仿宋_GB2312" w:cs="方正仿宋_GB2312"/>
                <w:b/>
                <w:bCs/>
                <w:sz w:val="28"/>
                <w:szCs w:val="24"/>
              </w:rPr>
            </w:pPr>
            <w:r>
              <w:rPr>
                <w:rStyle w:val="25"/>
                <w:rFonts w:hint="default"/>
                <w:lang w:bidi="ar"/>
              </w:rPr>
              <w:t>姓名</w:t>
            </w:r>
          </w:p>
        </w:tc>
        <w:tc>
          <w:tcPr>
            <w:tcW w:w="2385" w:type="dxa"/>
          </w:tcPr>
          <w:p w14:paraId="6B5F4752">
            <w:pPr>
              <w:keepNext w:val="0"/>
              <w:keepLines w:val="0"/>
              <w:pageBreakBefore w:val="0"/>
              <w:widowControl/>
              <w:kinsoku/>
              <w:wordWrap/>
              <w:overflowPunct/>
              <w:topLinePunct w:val="0"/>
              <w:autoSpaceDE/>
              <w:autoSpaceDN/>
              <w:bidi w:val="0"/>
              <w:spacing w:line="580" w:lineRule="exact"/>
              <w:jc w:val="center"/>
              <w:textAlignment w:val="top"/>
              <w:rPr>
                <w:rFonts w:ascii="方正仿宋_GB2312" w:hAnsi="方正仿宋_GB2312" w:cs="方正仿宋_GB2312"/>
                <w:b/>
                <w:bCs/>
                <w:sz w:val="28"/>
                <w:szCs w:val="24"/>
              </w:rPr>
            </w:pPr>
            <w:r>
              <w:rPr>
                <w:rStyle w:val="25"/>
                <w:rFonts w:hint="default"/>
                <w:lang w:bidi="ar"/>
              </w:rPr>
              <w:t>工作单位</w:t>
            </w:r>
          </w:p>
        </w:tc>
        <w:tc>
          <w:tcPr>
            <w:tcW w:w="1755" w:type="dxa"/>
          </w:tcPr>
          <w:p w14:paraId="6071DE33">
            <w:pPr>
              <w:keepNext w:val="0"/>
              <w:keepLines w:val="0"/>
              <w:pageBreakBefore w:val="0"/>
              <w:widowControl/>
              <w:kinsoku/>
              <w:wordWrap/>
              <w:overflowPunct/>
              <w:topLinePunct w:val="0"/>
              <w:autoSpaceDE/>
              <w:autoSpaceDN/>
              <w:bidi w:val="0"/>
              <w:spacing w:line="580" w:lineRule="exact"/>
              <w:jc w:val="center"/>
              <w:textAlignment w:val="top"/>
              <w:rPr>
                <w:rFonts w:ascii="方正仿宋_GB2312" w:hAnsi="方正仿宋_GB2312" w:cs="方正仿宋_GB2312"/>
                <w:b/>
                <w:bCs/>
                <w:sz w:val="28"/>
                <w:szCs w:val="24"/>
              </w:rPr>
            </w:pPr>
            <w:r>
              <w:rPr>
                <w:rStyle w:val="25"/>
                <w:rFonts w:hint="default"/>
                <w:lang w:bidi="ar"/>
              </w:rPr>
              <w:t>职称</w:t>
            </w:r>
          </w:p>
        </w:tc>
        <w:tc>
          <w:tcPr>
            <w:tcW w:w="3270" w:type="dxa"/>
          </w:tcPr>
          <w:p w14:paraId="7E7A4C5A">
            <w:pPr>
              <w:keepNext w:val="0"/>
              <w:keepLines w:val="0"/>
              <w:pageBreakBefore w:val="0"/>
              <w:widowControl/>
              <w:kinsoku/>
              <w:wordWrap/>
              <w:overflowPunct/>
              <w:topLinePunct w:val="0"/>
              <w:autoSpaceDE/>
              <w:autoSpaceDN/>
              <w:bidi w:val="0"/>
              <w:spacing w:line="580" w:lineRule="exact"/>
              <w:jc w:val="center"/>
              <w:textAlignment w:val="top"/>
              <w:rPr>
                <w:rFonts w:ascii="方正仿宋_GB2312" w:hAnsi="方正仿宋_GB2312" w:cs="方正仿宋_GB2312"/>
                <w:b/>
                <w:bCs/>
                <w:sz w:val="28"/>
                <w:szCs w:val="24"/>
              </w:rPr>
            </w:pPr>
            <w:r>
              <w:rPr>
                <w:rStyle w:val="25"/>
                <w:rFonts w:hint="default"/>
                <w:lang w:bidi="ar"/>
              </w:rPr>
              <w:t>学科专业</w:t>
            </w:r>
          </w:p>
        </w:tc>
      </w:tr>
      <w:tr w14:paraId="0C70F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5" w:type="dxa"/>
            <w:vAlign w:val="center"/>
          </w:tcPr>
          <w:p w14:paraId="6AAFAFE3">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eastAsia"/>
                <w:lang w:val="en-US" w:eastAsia="zh-CN" w:bidi="ar"/>
              </w:rPr>
              <w:t>张磊</w:t>
            </w:r>
          </w:p>
        </w:tc>
        <w:tc>
          <w:tcPr>
            <w:tcW w:w="2385" w:type="dxa"/>
            <w:vAlign w:val="center"/>
          </w:tcPr>
          <w:p w14:paraId="4E5A39E2">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default"/>
                <w:lang w:val="en-US" w:eastAsia="zh-CN" w:bidi="ar"/>
              </w:rPr>
              <w:t>安徽医科大学</w:t>
            </w:r>
          </w:p>
        </w:tc>
        <w:tc>
          <w:tcPr>
            <w:tcW w:w="1755" w:type="dxa"/>
            <w:vAlign w:val="center"/>
          </w:tcPr>
          <w:p w14:paraId="28A7ED6B">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default"/>
                <w:lang w:val="en-US" w:eastAsia="zh-CN" w:bidi="ar"/>
              </w:rPr>
              <w:t>教授</w:t>
            </w:r>
          </w:p>
        </w:tc>
        <w:tc>
          <w:tcPr>
            <w:tcW w:w="3270" w:type="dxa"/>
            <w:vAlign w:val="center"/>
          </w:tcPr>
          <w:p w14:paraId="515667A4">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eastAsia"/>
                <w:lang w:val="en-US" w:eastAsia="zh-CN" w:bidi="ar"/>
              </w:rPr>
              <w:t>药学</w:t>
            </w:r>
          </w:p>
        </w:tc>
      </w:tr>
      <w:tr w14:paraId="3521F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5" w:type="dxa"/>
            <w:vAlign w:val="center"/>
          </w:tcPr>
          <w:p w14:paraId="29599E45">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eastAsia"/>
                <w:lang w:val="en-US" w:eastAsia="zh-CN" w:bidi="ar"/>
              </w:rPr>
              <w:t>高杉</w:t>
            </w:r>
          </w:p>
        </w:tc>
        <w:tc>
          <w:tcPr>
            <w:tcW w:w="2385" w:type="dxa"/>
            <w:vAlign w:val="center"/>
          </w:tcPr>
          <w:p w14:paraId="5C8DA437">
            <w:pPr>
              <w:keepNext w:val="0"/>
              <w:keepLines w:val="0"/>
              <w:pageBreakBefore w:val="0"/>
              <w:widowControl/>
              <w:kinsoku/>
              <w:wordWrap/>
              <w:overflowPunct/>
              <w:topLinePunct w:val="0"/>
              <w:autoSpaceDE/>
              <w:autoSpaceDN/>
              <w:bidi w:val="0"/>
              <w:spacing w:line="580" w:lineRule="exact"/>
              <w:jc w:val="center"/>
              <w:textAlignment w:val="center"/>
              <w:rPr>
                <w:rStyle w:val="26"/>
                <w:rFonts w:hint="default"/>
                <w:lang w:val="en-US" w:eastAsia="zh-CN" w:bidi="ar"/>
              </w:rPr>
            </w:pPr>
            <w:r>
              <w:rPr>
                <w:rStyle w:val="26"/>
                <w:rFonts w:hint="default"/>
                <w:lang w:bidi="ar"/>
              </w:rPr>
              <w:t>安徽医科大学</w:t>
            </w:r>
          </w:p>
        </w:tc>
        <w:tc>
          <w:tcPr>
            <w:tcW w:w="1755" w:type="dxa"/>
            <w:vAlign w:val="center"/>
          </w:tcPr>
          <w:p w14:paraId="07344147">
            <w:pPr>
              <w:keepNext w:val="0"/>
              <w:keepLines w:val="0"/>
              <w:pageBreakBefore w:val="0"/>
              <w:widowControl/>
              <w:kinsoku/>
              <w:wordWrap/>
              <w:overflowPunct/>
              <w:topLinePunct w:val="0"/>
              <w:autoSpaceDE/>
              <w:autoSpaceDN/>
              <w:bidi w:val="0"/>
              <w:spacing w:line="580" w:lineRule="exact"/>
              <w:jc w:val="center"/>
              <w:textAlignment w:val="center"/>
              <w:rPr>
                <w:rStyle w:val="26"/>
                <w:rFonts w:hint="default"/>
                <w:lang w:val="en-US" w:eastAsia="zh-CN" w:bidi="ar"/>
              </w:rPr>
            </w:pPr>
            <w:r>
              <w:rPr>
                <w:rStyle w:val="26"/>
                <w:rFonts w:hint="default"/>
                <w:lang w:bidi="ar"/>
              </w:rPr>
              <w:t>教授</w:t>
            </w:r>
          </w:p>
        </w:tc>
        <w:tc>
          <w:tcPr>
            <w:tcW w:w="3270" w:type="dxa"/>
            <w:vAlign w:val="center"/>
          </w:tcPr>
          <w:p w14:paraId="65E6E21D">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eastAsia"/>
                <w:lang w:val="en-US" w:eastAsia="zh-CN" w:bidi="ar"/>
              </w:rPr>
              <w:t>中药学</w:t>
            </w:r>
          </w:p>
        </w:tc>
      </w:tr>
      <w:tr w14:paraId="4F726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5" w:type="dxa"/>
            <w:vAlign w:val="center"/>
          </w:tcPr>
          <w:p w14:paraId="50E034F3">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eastAsia"/>
                <w:lang w:val="en-US" w:eastAsia="zh-CN" w:bidi="ar"/>
              </w:rPr>
              <w:t>朱华庆</w:t>
            </w:r>
          </w:p>
        </w:tc>
        <w:tc>
          <w:tcPr>
            <w:tcW w:w="2385" w:type="dxa"/>
            <w:vAlign w:val="center"/>
          </w:tcPr>
          <w:p w14:paraId="38E32ED7">
            <w:pPr>
              <w:keepNext w:val="0"/>
              <w:keepLines w:val="0"/>
              <w:pageBreakBefore w:val="0"/>
              <w:widowControl/>
              <w:kinsoku/>
              <w:wordWrap/>
              <w:overflowPunct/>
              <w:topLinePunct w:val="0"/>
              <w:autoSpaceDE/>
              <w:autoSpaceDN/>
              <w:bidi w:val="0"/>
              <w:spacing w:line="580" w:lineRule="exact"/>
              <w:jc w:val="center"/>
              <w:textAlignment w:val="center"/>
              <w:rPr>
                <w:rStyle w:val="26"/>
                <w:rFonts w:hint="default"/>
                <w:lang w:val="en-US" w:eastAsia="zh-CN" w:bidi="ar"/>
              </w:rPr>
            </w:pPr>
            <w:r>
              <w:rPr>
                <w:rStyle w:val="26"/>
                <w:rFonts w:hint="default"/>
                <w:lang w:val="en-US" w:eastAsia="zh-CN" w:bidi="ar"/>
              </w:rPr>
              <w:t>安徽医科大学</w:t>
            </w:r>
          </w:p>
        </w:tc>
        <w:tc>
          <w:tcPr>
            <w:tcW w:w="1755" w:type="dxa"/>
            <w:vAlign w:val="center"/>
          </w:tcPr>
          <w:p w14:paraId="0DA2E47F">
            <w:pPr>
              <w:keepNext w:val="0"/>
              <w:keepLines w:val="0"/>
              <w:pageBreakBefore w:val="0"/>
              <w:widowControl/>
              <w:kinsoku/>
              <w:wordWrap/>
              <w:overflowPunct/>
              <w:topLinePunct w:val="0"/>
              <w:autoSpaceDE/>
              <w:autoSpaceDN/>
              <w:bidi w:val="0"/>
              <w:spacing w:line="580" w:lineRule="exact"/>
              <w:jc w:val="center"/>
              <w:textAlignment w:val="center"/>
              <w:rPr>
                <w:rStyle w:val="26"/>
                <w:rFonts w:hint="default"/>
                <w:lang w:val="en-US" w:eastAsia="zh-CN" w:bidi="ar"/>
              </w:rPr>
            </w:pPr>
            <w:r>
              <w:rPr>
                <w:rStyle w:val="26"/>
                <w:rFonts w:hint="default"/>
                <w:lang w:val="en-US" w:eastAsia="zh-CN" w:bidi="ar"/>
              </w:rPr>
              <w:t>教授</w:t>
            </w:r>
          </w:p>
        </w:tc>
        <w:tc>
          <w:tcPr>
            <w:tcW w:w="3270" w:type="dxa"/>
            <w:vAlign w:val="center"/>
          </w:tcPr>
          <w:p w14:paraId="0F16EBB3">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eastAsia"/>
                <w:lang w:val="en-US" w:eastAsia="zh-CN" w:bidi="ar"/>
              </w:rPr>
              <w:t>生化与分子生物学</w:t>
            </w:r>
          </w:p>
        </w:tc>
      </w:tr>
      <w:tr w14:paraId="0F5F2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5" w:type="dxa"/>
            <w:vAlign w:val="center"/>
          </w:tcPr>
          <w:p w14:paraId="29F97388">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eastAsia"/>
                <w:lang w:val="en-US" w:eastAsia="zh-CN" w:bidi="ar"/>
              </w:rPr>
              <w:t>王学富</w:t>
            </w:r>
          </w:p>
        </w:tc>
        <w:tc>
          <w:tcPr>
            <w:tcW w:w="2385" w:type="dxa"/>
            <w:vAlign w:val="center"/>
          </w:tcPr>
          <w:p w14:paraId="12C83563">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default"/>
                <w:lang w:val="en-US" w:eastAsia="zh-CN" w:bidi="ar"/>
              </w:rPr>
              <w:t>安徽医科大学</w:t>
            </w:r>
          </w:p>
        </w:tc>
        <w:tc>
          <w:tcPr>
            <w:tcW w:w="1755" w:type="dxa"/>
            <w:vAlign w:val="center"/>
          </w:tcPr>
          <w:p w14:paraId="06EF4C38">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default"/>
                <w:lang w:val="en-US" w:eastAsia="zh-CN" w:bidi="ar"/>
              </w:rPr>
              <w:t>教授</w:t>
            </w:r>
          </w:p>
        </w:tc>
        <w:tc>
          <w:tcPr>
            <w:tcW w:w="3270" w:type="dxa"/>
            <w:vAlign w:val="center"/>
          </w:tcPr>
          <w:p w14:paraId="73EF4FAA">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eastAsia"/>
                <w:lang w:val="en-US" w:eastAsia="zh-CN" w:bidi="ar"/>
              </w:rPr>
              <w:t>免疫学</w:t>
            </w:r>
          </w:p>
        </w:tc>
      </w:tr>
      <w:tr w14:paraId="12D9F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5" w:type="dxa"/>
            <w:vAlign w:val="center"/>
          </w:tcPr>
          <w:p w14:paraId="4F661BDE">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eastAsia"/>
                <w:lang w:val="en-US" w:eastAsia="zh-CN" w:bidi="ar"/>
              </w:rPr>
              <w:t>黄芬</w:t>
            </w:r>
          </w:p>
        </w:tc>
        <w:tc>
          <w:tcPr>
            <w:tcW w:w="2385" w:type="dxa"/>
            <w:vAlign w:val="center"/>
          </w:tcPr>
          <w:p w14:paraId="3927AD8C">
            <w:pPr>
              <w:keepNext w:val="0"/>
              <w:keepLines w:val="0"/>
              <w:pageBreakBefore w:val="0"/>
              <w:widowControl/>
              <w:kinsoku/>
              <w:wordWrap/>
              <w:overflowPunct/>
              <w:topLinePunct w:val="0"/>
              <w:autoSpaceDE/>
              <w:autoSpaceDN/>
              <w:bidi w:val="0"/>
              <w:spacing w:line="580" w:lineRule="exact"/>
              <w:jc w:val="center"/>
              <w:textAlignment w:val="center"/>
              <w:rPr>
                <w:rStyle w:val="26"/>
                <w:rFonts w:hint="default"/>
                <w:lang w:val="en-US" w:eastAsia="zh-CN" w:bidi="ar"/>
              </w:rPr>
            </w:pPr>
            <w:r>
              <w:rPr>
                <w:rStyle w:val="26"/>
                <w:rFonts w:hint="default"/>
                <w:lang w:val="en-US" w:eastAsia="zh-CN" w:bidi="ar"/>
              </w:rPr>
              <w:t>安徽医科大学</w:t>
            </w:r>
          </w:p>
        </w:tc>
        <w:tc>
          <w:tcPr>
            <w:tcW w:w="1755" w:type="dxa"/>
            <w:vAlign w:val="center"/>
          </w:tcPr>
          <w:p w14:paraId="06EEC0EF">
            <w:pPr>
              <w:keepNext w:val="0"/>
              <w:keepLines w:val="0"/>
              <w:pageBreakBefore w:val="0"/>
              <w:widowControl/>
              <w:kinsoku/>
              <w:wordWrap/>
              <w:overflowPunct/>
              <w:topLinePunct w:val="0"/>
              <w:autoSpaceDE/>
              <w:autoSpaceDN/>
              <w:bidi w:val="0"/>
              <w:spacing w:line="580" w:lineRule="exact"/>
              <w:jc w:val="center"/>
              <w:textAlignment w:val="center"/>
              <w:rPr>
                <w:rStyle w:val="26"/>
                <w:rFonts w:hint="default"/>
                <w:lang w:val="en-US" w:eastAsia="zh-CN" w:bidi="ar"/>
              </w:rPr>
            </w:pPr>
            <w:r>
              <w:rPr>
                <w:rStyle w:val="26"/>
                <w:rFonts w:hint="default"/>
                <w:lang w:val="en-US" w:eastAsia="zh-CN" w:bidi="ar"/>
              </w:rPr>
              <w:t>教授</w:t>
            </w:r>
          </w:p>
        </w:tc>
        <w:tc>
          <w:tcPr>
            <w:tcW w:w="3270" w:type="dxa"/>
            <w:vAlign w:val="center"/>
          </w:tcPr>
          <w:p w14:paraId="4B75CF3D">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eastAsia"/>
                <w:lang w:val="en-US" w:eastAsia="zh-CN" w:bidi="ar"/>
              </w:rPr>
              <w:t>流行病与卫生统计学</w:t>
            </w:r>
          </w:p>
        </w:tc>
      </w:tr>
      <w:tr w14:paraId="5F36A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5" w:type="dxa"/>
            <w:vAlign w:val="center"/>
          </w:tcPr>
          <w:p w14:paraId="2B1BA52E">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eastAsia"/>
                <w:lang w:val="en-US" w:eastAsia="zh-CN" w:bidi="ar"/>
              </w:rPr>
              <w:t>朱鹏</w:t>
            </w:r>
          </w:p>
        </w:tc>
        <w:tc>
          <w:tcPr>
            <w:tcW w:w="2385" w:type="dxa"/>
            <w:vAlign w:val="center"/>
          </w:tcPr>
          <w:p w14:paraId="2EB51CD4">
            <w:pPr>
              <w:keepNext w:val="0"/>
              <w:keepLines w:val="0"/>
              <w:pageBreakBefore w:val="0"/>
              <w:widowControl/>
              <w:kinsoku/>
              <w:wordWrap/>
              <w:overflowPunct/>
              <w:topLinePunct w:val="0"/>
              <w:autoSpaceDE/>
              <w:autoSpaceDN/>
              <w:bidi w:val="0"/>
              <w:spacing w:line="580" w:lineRule="exact"/>
              <w:jc w:val="center"/>
              <w:textAlignment w:val="center"/>
              <w:rPr>
                <w:rStyle w:val="26"/>
                <w:rFonts w:hint="default"/>
                <w:lang w:val="en-US" w:eastAsia="zh-CN" w:bidi="ar"/>
              </w:rPr>
            </w:pPr>
            <w:r>
              <w:rPr>
                <w:rStyle w:val="26"/>
                <w:rFonts w:hint="default"/>
                <w:lang w:val="en-US" w:eastAsia="zh-CN" w:bidi="ar"/>
              </w:rPr>
              <w:t>安徽医科大学</w:t>
            </w:r>
          </w:p>
        </w:tc>
        <w:tc>
          <w:tcPr>
            <w:tcW w:w="1755" w:type="dxa"/>
            <w:vAlign w:val="center"/>
          </w:tcPr>
          <w:p w14:paraId="7ADF2370">
            <w:pPr>
              <w:keepNext w:val="0"/>
              <w:keepLines w:val="0"/>
              <w:pageBreakBefore w:val="0"/>
              <w:widowControl/>
              <w:kinsoku/>
              <w:wordWrap/>
              <w:overflowPunct/>
              <w:topLinePunct w:val="0"/>
              <w:autoSpaceDE/>
              <w:autoSpaceDN/>
              <w:bidi w:val="0"/>
              <w:spacing w:line="580" w:lineRule="exact"/>
              <w:jc w:val="center"/>
              <w:textAlignment w:val="center"/>
              <w:rPr>
                <w:rStyle w:val="26"/>
                <w:rFonts w:hint="default"/>
                <w:lang w:val="en-US" w:eastAsia="zh-CN" w:bidi="ar"/>
              </w:rPr>
            </w:pPr>
            <w:r>
              <w:rPr>
                <w:rStyle w:val="26"/>
                <w:rFonts w:hint="default"/>
                <w:lang w:val="en-US" w:eastAsia="zh-CN" w:bidi="ar"/>
              </w:rPr>
              <w:t>教授</w:t>
            </w:r>
          </w:p>
        </w:tc>
        <w:tc>
          <w:tcPr>
            <w:tcW w:w="3270" w:type="dxa"/>
            <w:vAlign w:val="center"/>
          </w:tcPr>
          <w:p w14:paraId="29250868">
            <w:pPr>
              <w:keepNext w:val="0"/>
              <w:keepLines w:val="0"/>
              <w:pageBreakBefore w:val="0"/>
              <w:widowControl/>
              <w:kinsoku/>
              <w:wordWrap/>
              <w:overflowPunct/>
              <w:topLinePunct w:val="0"/>
              <w:autoSpaceDE/>
              <w:autoSpaceDN/>
              <w:bidi w:val="0"/>
              <w:spacing w:line="580" w:lineRule="exact"/>
              <w:jc w:val="center"/>
              <w:textAlignment w:val="center"/>
              <w:rPr>
                <w:rStyle w:val="26"/>
                <w:rFonts w:hint="eastAsia"/>
                <w:lang w:val="en-US" w:eastAsia="zh-CN" w:bidi="ar"/>
              </w:rPr>
            </w:pPr>
            <w:r>
              <w:rPr>
                <w:rStyle w:val="26"/>
                <w:rFonts w:hint="eastAsia"/>
                <w:lang w:val="en-US" w:eastAsia="zh-CN" w:bidi="ar"/>
              </w:rPr>
              <w:t>儿少卫生与妇幼保健学</w:t>
            </w:r>
          </w:p>
        </w:tc>
      </w:tr>
    </w:tbl>
    <w:p w14:paraId="680C906C">
      <w:pPr>
        <w:adjustRightInd w:val="0"/>
        <w:snapToGrid w:val="0"/>
        <w:spacing w:line="360" w:lineRule="auto"/>
        <w:ind w:firstLine="468" w:firstLineChars="200"/>
        <w:jc w:val="both"/>
        <w:rPr>
          <w:rFonts w:hint="eastAsia" w:ascii="Times New Roman" w:hAnsi="Times New Roman" w:cs="Times New Roman" w:eastAsiaTheme="majorEastAsia"/>
          <w:color w:val="auto"/>
          <w:spacing w:val="-3"/>
          <w:sz w:val="24"/>
          <w:szCs w:val="24"/>
          <w:lang w:val="en-US" w:eastAsia="zh-CN"/>
        </w:rPr>
      </w:pPr>
    </w:p>
    <w:p w14:paraId="491F8DF0">
      <w:pPr>
        <w:pStyle w:val="3"/>
        <w:rPr>
          <w:rStyle w:val="22"/>
          <w:rFonts w:hint="default" w:ascii="Times New Roman" w:hAnsi="Times New Roman" w:cs="Times New Roman"/>
          <w:b w:val="0"/>
          <w:bCs/>
          <w:sz w:val="28"/>
          <w:szCs w:val="18"/>
          <w:lang w:val="en-US" w:eastAsia="zh-CN"/>
        </w:rPr>
      </w:pPr>
      <w:r>
        <w:rPr>
          <w:rStyle w:val="22"/>
          <w:rFonts w:hint="eastAsia" w:ascii="Times New Roman" w:hAnsi="Times New Roman" w:cs="Times New Roman"/>
          <w:b w:val="0"/>
          <w:bCs/>
          <w:sz w:val="28"/>
          <w:szCs w:val="18"/>
          <w:lang w:val="en-US" w:eastAsia="zh-CN"/>
        </w:rPr>
        <w:t>论证专家</w:t>
      </w:r>
    </w:p>
    <w:p w14:paraId="66C7DBD0">
      <w:pPr>
        <w:adjustRightInd w:val="0"/>
        <w:snapToGrid w:val="0"/>
        <w:spacing w:line="360" w:lineRule="auto"/>
        <w:ind w:firstLine="468" w:firstLineChars="200"/>
        <w:jc w:val="both"/>
        <w:rPr>
          <w:rFonts w:hint="default" w:ascii="Times New Roman" w:hAnsi="Times New Roman" w:cs="Times New Roman" w:eastAsiaTheme="majorEastAsia"/>
          <w:color w:val="auto"/>
          <w:spacing w:val="-3"/>
          <w:sz w:val="24"/>
          <w:szCs w:val="24"/>
          <w:lang w:val="en-US" w:eastAsia="zh-CN"/>
        </w:rPr>
      </w:pPr>
    </w:p>
    <w:sectPr>
      <w:pgSz w:w="11906" w:h="16838"/>
      <w:pgMar w:top="1440" w:right="17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1F21FD25-FC95-4C2C-B77D-23F9A19F959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简体">
    <w:panose1 w:val="02010601030101010101"/>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embedRegular r:id="rId2" w:fontKey="{9F644742-768B-4900-998E-7380EA4F8D1A}"/>
  </w:font>
  <w:font w:name="方正小标宋_GBK">
    <w:panose1 w:val="03000509000000000000"/>
    <w:charset w:val="86"/>
    <w:family w:val="auto"/>
    <w:pitch w:val="default"/>
    <w:sig w:usb0="00000001" w:usb1="080E0000" w:usb2="00000000" w:usb3="00000000" w:csb0="00040000" w:csb1="00000000"/>
    <w:embedRegular r:id="rId3" w:fontKey="{EDF5D5F1-9B15-4374-8309-ADDAFD3DD6AD}"/>
  </w:font>
  <w:font w:name="方正仿宋_GB2312">
    <w:panose1 w:val="02000000000000000000"/>
    <w:charset w:val="86"/>
    <w:family w:val="auto"/>
    <w:pitch w:val="default"/>
    <w:sig w:usb0="A00002BF" w:usb1="184F6CFA" w:usb2="00000012" w:usb3="00000000" w:csb0="00040001" w:csb1="00000000"/>
    <w:embedRegular r:id="rId4" w:fontKey="{5A01307C-FBDD-4751-AD50-92EB292D0E05}"/>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D74855"/>
    <w:multiLevelType w:val="singleLevel"/>
    <w:tmpl w:val="8CD74855"/>
    <w:lvl w:ilvl="0" w:tentative="0">
      <w:start w:val="2"/>
      <w:numFmt w:val="decimal"/>
      <w:suff w:val="nothing"/>
      <w:lvlText w:val="%1、"/>
      <w:lvlJc w:val="left"/>
      <w:rPr>
        <w:rFonts w:hint="default"/>
        <w:b/>
        <w:bC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gzZWMxMzIyNjgyNjAxZTM4ZGY0Y2NkNTAzZGE5ZWIifQ=="/>
  </w:docVars>
  <w:rsids>
    <w:rsidRoot w:val="00F30850"/>
    <w:rsid w:val="0009164C"/>
    <w:rsid w:val="00120584"/>
    <w:rsid w:val="001D2FAB"/>
    <w:rsid w:val="002A70DE"/>
    <w:rsid w:val="002E398A"/>
    <w:rsid w:val="00352F28"/>
    <w:rsid w:val="00400D0F"/>
    <w:rsid w:val="00412444"/>
    <w:rsid w:val="00500138"/>
    <w:rsid w:val="00557D56"/>
    <w:rsid w:val="005749F1"/>
    <w:rsid w:val="006D0B59"/>
    <w:rsid w:val="0070651E"/>
    <w:rsid w:val="00780F4F"/>
    <w:rsid w:val="008242B6"/>
    <w:rsid w:val="00880386"/>
    <w:rsid w:val="00905DB2"/>
    <w:rsid w:val="009250FE"/>
    <w:rsid w:val="00975D66"/>
    <w:rsid w:val="009D6E25"/>
    <w:rsid w:val="00A41334"/>
    <w:rsid w:val="00A8233E"/>
    <w:rsid w:val="00A91BE6"/>
    <w:rsid w:val="00D013BB"/>
    <w:rsid w:val="00D5135D"/>
    <w:rsid w:val="00D77287"/>
    <w:rsid w:val="00E103F8"/>
    <w:rsid w:val="00E30582"/>
    <w:rsid w:val="00E31268"/>
    <w:rsid w:val="00EA0EAB"/>
    <w:rsid w:val="00EE66CF"/>
    <w:rsid w:val="00F16E91"/>
    <w:rsid w:val="00F30850"/>
    <w:rsid w:val="00F434C3"/>
    <w:rsid w:val="00F9071F"/>
    <w:rsid w:val="015C2B0C"/>
    <w:rsid w:val="01EE5E5A"/>
    <w:rsid w:val="037979A5"/>
    <w:rsid w:val="042C2C6A"/>
    <w:rsid w:val="058631A6"/>
    <w:rsid w:val="05D244AF"/>
    <w:rsid w:val="07E850FA"/>
    <w:rsid w:val="083E4D1A"/>
    <w:rsid w:val="08670714"/>
    <w:rsid w:val="0B534F80"/>
    <w:rsid w:val="0BA80E28"/>
    <w:rsid w:val="0D586624"/>
    <w:rsid w:val="0E601E8E"/>
    <w:rsid w:val="0E7060D9"/>
    <w:rsid w:val="0F2B78D2"/>
    <w:rsid w:val="0F7F6343"/>
    <w:rsid w:val="1134550A"/>
    <w:rsid w:val="130D010A"/>
    <w:rsid w:val="15316332"/>
    <w:rsid w:val="16A62408"/>
    <w:rsid w:val="16DB67BE"/>
    <w:rsid w:val="18001FEB"/>
    <w:rsid w:val="18023FB5"/>
    <w:rsid w:val="18AB01A9"/>
    <w:rsid w:val="18CE5C46"/>
    <w:rsid w:val="19F85670"/>
    <w:rsid w:val="1AA069CF"/>
    <w:rsid w:val="1B157B5C"/>
    <w:rsid w:val="1C0E52F2"/>
    <w:rsid w:val="1C3E1334"/>
    <w:rsid w:val="1D3249F5"/>
    <w:rsid w:val="1E1C731F"/>
    <w:rsid w:val="1FDC50EC"/>
    <w:rsid w:val="21222FD3"/>
    <w:rsid w:val="258C3110"/>
    <w:rsid w:val="25A329C8"/>
    <w:rsid w:val="26074AE7"/>
    <w:rsid w:val="265579A6"/>
    <w:rsid w:val="269B3108"/>
    <w:rsid w:val="294423CE"/>
    <w:rsid w:val="298B1876"/>
    <w:rsid w:val="2AF05EF0"/>
    <w:rsid w:val="2C6721E1"/>
    <w:rsid w:val="2DE25FC3"/>
    <w:rsid w:val="2E5D1AA9"/>
    <w:rsid w:val="2E6A5220"/>
    <w:rsid w:val="303F594F"/>
    <w:rsid w:val="31C559E0"/>
    <w:rsid w:val="32B37F2E"/>
    <w:rsid w:val="33941996"/>
    <w:rsid w:val="33995376"/>
    <w:rsid w:val="36723C5D"/>
    <w:rsid w:val="374E0226"/>
    <w:rsid w:val="37B05C55"/>
    <w:rsid w:val="38FB3BFA"/>
    <w:rsid w:val="39924D42"/>
    <w:rsid w:val="39F94DC1"/>
    <w:rsid w:val="3A4B6C9E"/>
    <w:rsid w:val="3AAE3E96"/>
    <w:rsid w:val="3B247C1B"/>
    <w:rsid w:val="3C6E0900"/>
    <w:rsid w:val="3E265A58"/>
    <w:rsid w:val="3EE15E23"/>
    <w:rsid w:val="3F8F762D"/>
    <w:rsid w:val="3FEE25A6"/>
    <w:rsid w:val="41CF14E4"/>
    <w:rsid w:val="41E70FD0"/>
    <w:rsid w:val="442C27F1"/>
    <w:rsid w:val="458A2D71"/>
    <w:rsid w:val="474E771C"/>
    <w:rsid w:val="47BF4E29"/>
    <w:rsid w:val="48B03256"/>
    <w:rsid w:val="4B1F5A46"/>
    <w:rsid w:val="4BEF1B80"/>
    <w:rsid w:val="4DC64B62"/>
    <w:rsid w:val="5077469B"/>
    <w:rsid w:val="50E377EC"/>
    <w:rsid w:val="51963BB4"/>
    <w:rsid w:val="532619E9"/>
    <w:rsid w:val="53DC1235"/>
    <w:rsid w:val="555E6C3D"/>
    <w:rsid w:val="57233025"/>
    <w:rsid w:val="592310BA"/>
    <w:rsid w:val="59465CFB"/>
    <w:rsid w:val="5A5C0D28"/>
    <w:rsid w:val="5AC22595"/>
    <w:rsid w:val="5B264E92"/>
    <w:rsid w:val="5E2C6284"/>
    <w:rsid w:val="5F182D44"/>
    <w:rsid w:val="5FCC24AC"/>
    <w:rsid w:val="62744735"/>
    <w:rsid w:val="65BA4B55"/>
    <w:rsid w:val="668C2539"/>
    <w:rsid w:val="69D63F27"/>
    <w:rsid w:val="6AF31025"/>
    <w:rsid w:val="6BCB7ABB"/>
    <w:rsid w:val="6D793547"/>
    <w:rsid w:val="6DE5298B"/>
    <w:rsid w:val="6E8354DD"/>
    <w:rsid w:val="6EB72579"/>
    <w:rsid w:val="6F582414"/>
    <w:rsid w:val="701632CF"/>
    <w:rsid w:val="718801FD"/>
    <w:rsid w:val="73697A9C"/>
    <w:rsid w:val="750D5096"/>
    <w:rsid w:val="774E15A1"/>
    <w:rsid w:val="7A480529"/>
    <w:rsid w:val="7AAD1B3E"/>
    <w:rsid w:val="7AB42242"/>
    <w:rsid w:val="7B1E74DC"/>
    <w:rsid w:val="7B713AB0"/>
    <w:rsid w:val="7B892BA7"/>
    <w:rsid w:val="7CBC6FAC"/>
    <w:rsid w:val="7E462FD2"/>
    <w:rsid w:val="7EE30820"/>
    <w:rsid w:val="7F3134F0"/>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next w:val="1"/>
    <w:link w:val="22"/>
    <w:qFormat/>
    <w:uiPriority w:val="0"/>
    <w:pPr>
      <w:keepNext/>
      <w:keepLines/>
      <w:widowControl w:val="0"/>
      <w:spacing w:line="413" w:lineRule="auto"/>
      <w:jc w:val="both"/>
      <w:outlineLvl w:val="1"/>
    </w:pPr>
    <w:rPr>
      <w:rFonts w:ascii="Arial" w:hAnsi="Arial" w:eastAsia="黑体" w:cs="Times New Roman"/>
      <w:b/>
      <w:kern w:val="2"/>
      <w:sz w:val="32"/>
      <w:szCs w:val="20"/>
      <w:lang w:val="en-US" w:eastAsia="zh-CN" w:bidi="ar-SA"/>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Body Text"/>
    <w:next w:val="1"/>
    <w:qFormat/>
    <w:uiPriority w:val="0"/>
    <w:pPr>
      <w:widowControl w:val="0"/>
      <w:jc w:val="center"/>
    </w:pPr>
    <w:rPr>
      <w:rFonts w:ascii="宋体" w:hAnsi="宋体" w:eastAsia="宋体" w:cs="Times New Roman"/>
      <w:b/>
      <w:kern w:val="2"/>
      <w:sz w:val="44"/>
      <w:szCs w:val="44"/>
      <w:lang w:val="en-US" w:eastAsia="zh-CN" w:bidi="ar-SA"/>
    </w:rPr>
  </w:style>
  <w:style w:type="paragraph" w:styleId="4">
    <w:name w:val="Plain Text"/>
    <w:basedOn w:val="1"/>
    <w:link w:val="20"/>
    <w:qFormat/>
    <w:uiPriority w:val="0"/>
    <w:pPr>
      <w:spacing w:line="360" w:lineRule="auto"/>
      <w:ind w:firstLine="480" w:firstLineChars="200"/>
    </w:pPr>
    <w:rPr>
      <w:rFonts w:ascii="仿宋_GB2312" w:hAnsi="Times New Roman" w:cs="Times New Roman"/>
      <w:sz w:val="24"/>
      <w:szCs w:val="20"/>
    </w:rPr>
  </w:style>
  <w:style w:type="paragraph" w:styleId="5">
    <w:name w:val="Body Text Indent 2"/>
    <w:next w:val="1"/>
    <w:qFormat/>
    <w:uiPriority w:val="99"/>
    <w:pPr>
      <w:widowControl w:val="0"/>
      <w:spacing w:line="560" w:lineRule="exact"/>
      <w:ind w:left="420" w:leftChars="200" w:firstLine="880" w:firstLineChars="200"/>
      <w:jc w:val="both"/>
    </w:pPr>
    <w:rPr>
      <w:rFonts w:ascii="Calibri" w:hAnsi="Calibri" w:eastAsia="仿宋_GB2312" w:cs="Times New Roman"/>
      <w:kern w:val="2"/>
      <w:sz w:val="32"/>
      <w:szCs w:val="32"/>
      <w:lang w:val="en-US" w:eastAsia="zh-CN" w:bidi="ar-SA"/>
    </w:rPr>
  </w:style>
  <w:style w:type="paragraph" w:styleId="6">
    <w:name w:val="footer"/>
    <w:basedOn w:val="1"/>
    <w:link w:val="17"/>
    <w:autoRedefine/>
    <w:semiHidden/>
    <w:unhideWhenUsed/>
    <w:qFormat/>
    <w:uiPriority w:val="99"/>
    <w:pPr>
      <w:tabs>
        <w:tab w:val="center" w:pos="4153"/>
        <w:tab w:val="right" w:pos="8306"/>
      </w:tabs>
      <w:snapToGrid w:val="0"/>
      <w:jc w:val="left"/>
    </w:pPr>
    <w:rPr>
      <w:sz w:val="18"/>
      <w:szCs w:val="18"/>
    </w:rPr>
  </w:style>
  <w:style w:type="paragraph" w:styleId="7">
    <w:name w:val="header"/>
    <w:basedOn w:val="1"/>
    <w:link w:val="16"/>
    <w:autoRedefine/>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9">
    <w:name w:val="index 1"/>
    <w:next w:val="1"/>
    <w:qFormat/>
    <w:uiPriority w:val="0"/>
    <w:pPr>
      <w:widowControl w:val="0"/>
      <w:snapToGrid w:val="0"/>
      <w:jc w:val="both"/>
    </w:pPr>
    <w:rPr>
      <w:rFonts w:ascii="Times New Roman" w:hAnsi="Times New Roman" w:eastAsia="宋体" w:cs="Times New Roman"/>
      <w:kern w:val="2"/>
      <w:sz w:val="21"/>
      <w:szCs w:val="20"/>
      <w:lang w:val="en-US" w:eastAsia="zh-CN" w:bidi="ar-SA"/>
    </w:rPr>
  </w:style>
  <w:style w:type="table" w:styleId="11">
    <w:name w:val="Table Grid"/>
    <w:basedOn w:val="10"/>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22"/>
    <w:rPr>
      <w:b/>
    </w:rPr>
  </w:style>
  <w:style w:type="character" w:styleId="14">
    <w:name w:val="Hyperlink"/>
    <w:autoRedefine/>
    <w:qFormat/>
    <w:uiPriority w:val="0"/>
    <w:rPr>
      <w:color w:val="0000FF"/>
      <w:u w:val="single"/>
    </w:rPr>
  </w:style>
  <w:style w:type="paragraph" w:styleId="15">
    <w:name w:val="List Paragraph"/>
    <w:basedOn w:val="1"/>
    <w:autoRedefine/>
    <w:qFormat/>
    <w:uiPriority w:val="34"/>
    <w:pPr>
      <w:ind w:firstLine="420" w:firstLineChars="200"/>
    </w:pPr>
  </w:style>
  <w:style w:type="character" w:customStyle="1" w:styleId="16">
    <w:name w:val="页眉 字符"/>
    <w:basedOn w:val="12"/>
    <w:link w:val="7"/>
    <w:autoRedefine/>
    <w:semiHidden/>
    <w:qFormat/>
    <w:uiPriority w:val="99"/>
    <w:rPr>
      <w:sz w:val="18"/>
      <w:szCs w:val="18"/>
    </w:rPr>
  </w:style>
  <w:style w:type="character" w:customStyle="1" w:styleId="17">
    <w:name w:val="页脚 字符"/>
    <w:basedOn w:val="12"/>
    <w:link w:val="6"/>
    <w:autoRedefine/>
    <w:semiHidden/>
    <w:qFormat/>
    <w:uiPriority w:val="99"/>
    <w:rPr>
      <w:sz w:val="18"/>
      <w:szCs w:val="18"/>
    </w:rPr>
  </w:style>
  <w:style w:type="character" w:customStyle="1" w:styleId="18">
    <w:name w:val="apple-style-span"/>
    <w:basedOn w:val="12"/>
    <w:autoRedefine/>
    <w:qFormat/>
    <w:uiPriority w:val="0"/>
    <w:rPr>
      <w:rFonts w:cs="Times New Roman"/>
    </w:rPr>
  </w:style>
  <w:style w:type="character" w:customStyle="1" w:styleId="19">
    <w:name w:val="纯文本 Char"/>
    <w:basedOn w:val="12"/>
    <w:autoRedefine/>
    <w:semiHidden/>
    <w:qFormat/>
    <w:uiPriority w:val="99"/>
    <w:rPr>
      <w:rFonts w:ascii="宋体" w:hAnsi="Courier New" w:eastAsia="宋体" w:cs="Courier New"/>
      <w:szCs w:val="21"/>
    </w:rPr>
  </w:style>
  <w:style w:type="character" w:customStyle="1" w:styleId="20">
    <w:name w:val="纯文本 字符"/>
    <w:basedOn w:val="12"/>
    <w:link w:val="4"/>
    <w:autoRedefine/>
    <w:qFormat/>
    <w:uiPriority w:val="0"/>
    <w:rPr>
      <w:rFonts w:ascii="仿宋_GB2312" w:hAnsi="Times New Roman" w:cs="Times New Roman"/>
      <w:sz w:val="24"/>
      <w:szCs w:val="20"/>
    </w:rPr>
  </w:style>
  <w:style w:type="paragraph" w:customStyle="1" w:styleId="21">
    <w:name w:val="_Style 8"/>
    <w:next w:val="1"/>
    <w:qFormat/>
    <w:uiPriority w:val="0"/>
    <w:pPr>
      <w:widowControl w:val="0"/>
      <w:spacing w:line="360" w:lineRule="auto"/>
      <w:ind w:firstLine="480" w:firstLineChars="200"/>
      <w:jc w:val="both"/>
    </w:pPr>
    <w:rPr>
      <w:rFonts w:ascii="仿宋_GB2312" w:hAnsi="Times New Roman" w:eastAsia="宋体" w:cs="Times New Roman"/>
      <w:kern w:val="2"/>
      <w:sz w:val="21"/>
      <w:szCs w:val="20"/>
      <w:lang w:val="en-US" w:eastAsia="zh-CN" w:bidi="ar-SA"/>
    </w:rPr>
  </w:style>
  <w:style w:type="character" w:customStyle="1" w:styleId="22">
    <w:name w:val="标题 2 字符"/>
    <w:link w:val="2"/>
    <w:qFormat/>
    <w:uiPriority w:val="0"/>
    <w:rPr>
      <w:rFonts w:ascii="Arial" w:hAnsi="Arial" w:eastAsia="黑体" w:cs="Times New Roman"/>
      <w:b/>
      <w:kern w:val="2"/>
      <w:sz w:val="32"/>
      <w:szCs w:val="20"/>
      <w:lang w:val="en-US" w:eastAsia="zh-CN" w:bidi="ar-SA"/>
    </w:rPr>
  </w:style>
  <w:style w:type="paragraph" w:customStyle="1" w:styleId="23">
    <w:name w:val="Table Text"/>
    <w:basedOn w:val="1"/>
    <w:semiHidden/>
    <w:qFormat/>
    <w:uiPriority w:val="0"/>
    <w:rPr>
      <w:rFonts w:ascii="宋体" w:hAnsi="宋体" w:eastAsia="宋体" w:cs="宋体"/>
      <w:sz w:val="21"/>
      <w:szCs w:val="21"/>
      <w:lang w:val="en-US" w:eastAsia="en-US" w:bidi="ar-SA"/>
    </w:rPr>
  </w:style>
  <w:style w:type="table" w:customStyle="1" w:styleId="24">
    <w:name w:val="Table Normal"/>
    <w:semiHidden/>
    <w:unhideWhenUsed/>
    <w:qFormat/>
    <w:uiPriority w:val="0"/>
    <w:tblPr>
      <w:tblCellMar>
        <w:top w:w="0" w:type="dxa"/>
        <w:left w:w="0" w:type="dxa"/>
        <w:bottom w:w="0" w:type="dxa"/>
        <w:right w:w="0" w:type="dxa"/>
      </w:tblCellMar>
    </w:tblPr>
  </w:style>
  <w:style w:type="character" w:customStyle="1" w:styleId="25">
    <w:name w:val="font11"/>
    <w:basedOn w:val="12"/>
    <w:qFormat/>
    <w:uiPriority w:val="0"/>
    <w:rPr>
      <w:rFonts w:hint="eastAsia" w:ascii="宋体" w:hAnsi="宋体" w:eastAsia="宋体" w:cs="宋体"/>
      <w:b/>
      <w:bCs/>
      <w:color w:val="000000"/>
      <w:sz w:val="28"/>
      <w:szCs w:val="28"/>
      <w:u w:val="none"/>
    </w:rPr>
  </w:style>
  <w:style w:type="character" w:customStyle="1" w:styleId="26">
    <w:name w:val="font21"/>
    <w:basedOn w:val="12"/>
    <w:qFormat/>
    <w:uiPriority w:val="0"/>
    <w:rPr>
      <w:rFonts w:hint="eastAsia" w:ascii="宋体" w:hAnsi="宋体" w:eastAsia="宋体" w:cs="宋体"/>
      <w:color w:val="000000"/>
      <w:sz w:val="28"/>
      <w:szCs w:val="28"/>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jpe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emf"/><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22</Pages>
  <Words>12379</Words>
  <Characters>14329</Characters>
  <Lines>46</Lines>
  <Paragraphs>13</Paragraphs>
  <TotalTime>0</TotalTime>
  <ScaleCrop>false</ScaleCrop>
  <LinksUpToDate>false</LinksUpToDate>
  <CharactersWithSpaces>14728</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2019-04-05T09:00:00Z</dcterms:created>
  <dc:creator>18956</dc:creator>
  <cp:lastModifiedBy>Lance sweets</cp:lastModifiedBy>
  <cp:lastPrinted>2025-06-15T09:46:00Z</cp:lastPrinted>
  <dcterms:modified xsi:type="dcterms:W3CDTF">2025-06-21T02:18:42Z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A400D3794A7F46E0861C47756D07D2D5_13</vt:lpwstr>
  </property>
  <property fmtid="{D5CDD505-2E9C-101B-9397-08002B2CF9AE}" pid="4" name="KSOTemplateDocerSaveRecord">
    <vt:lpwstr>eyJoZGlkIjoiNmNmYzM0N2Q0ZGVkZTNmNDJmYTZmZGJlOTcwN2JiYTUiLCJ1c2VySWQiOiI1NzkyMjc3MzgifQ==</vt:lpwstr>
  </property>
</Properties>
</file>