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FEEE3">
      <w:pPr>
        <w:adjustRightInd w:val="0"/>
        <w:snapToGrid w:val="0"/>
        <w:spacing w:line="500" w:lineRule="exact"/>
        <w:jc w:val="center"/>
        <w:rPr>
          <w:rFonts w:hint="eastAsia" w:ascii="方正小标宋_GBK" w:hAnsi="方正小标宋_GBK" w:eastAsia="方正小标宋_GBK" w:cs="方正小标宋_GBK"/>
          <w:b/>
          <w:bCs/>
          <w:sz w:val="36"/>
          <w:szCs w:val="36"/>
        </w:rPr>
      </w:pPr>
    </w:p>
    <w:p w14:paraId="7A6AB22F">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7A93ED67">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2"/>
          <w:szCs w:val="32"/>
        </w:rPr>
        <w:t>（</w:t>
      </w:r>
      <w:r>
        <w:rPr>
          <w:rFonts w:hint="eastAsia" w:ascii="方正小标宋_GBK" w:hAnsi="方正小标宋_GBK" w:eastAsia="方正小标宋_GBK" w:cs="方正小标宋_GBK"/>
          <w:b/>
          <w:bCs/>
          <w:color w:val="000000"/>
          <w:sz w:val="32"/>
          <w:szCs w:val="32"/>
        </w:rPr>
        <w:t>自然科学奖）</w:t>
      </w:r>
    </w:p>
    <w:p w14:paraId="0614AAAC">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（一）项目名称</w:t>
      </w:r>
    </w:p>
    <w:p w14:paraId="2788A32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围术期精确麻醉管理关键药物机制与干预策略创新研究</w:t>
      </w:r>
    </w:p>
    <w:p w14:paraId="60E49DB9">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Cs/>
          <w:sz w:val="32"/>
          <w:szCs w:val="32"/>
        </w:rPr>
      </w:pPr>
      <w:r>
        <w:rPr>
          <w:rFonts w:hint="default" w:ascii="黑体" w:hAnsi="黑体" w:eastAsia="黑体" w:cs="黑体"/>
          <w:b w:val="0"/>
          <w:bCs w:val="0"/>
          <w:sz w:val="32"/>
          <w:szCs w:val="32"/>
        </w:rPr>
        <w:t>（二）提名者：</w:t>
      </w:r>
      <w:r>
        <w:rPr>
          <w:rFonts w:hint="default" w:ascii="Times New Roman" w:hAnsi="Times New Roman" w:eastAsia="仿宋" w:cs="Times New Roman"/>
          <w:bCs/>
          <w:sz w:val="32"/>
          <w:szCs w:val="32"/>
        </w:rPr>
        <w:t>安徽医科大学</w:t>
      </w:r>
    </w:p>
    <w:p w14:paraId="49577BB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rPr>
      </w:pPr>
      <w:r>
        <w:rPr>
          <w:rFonts w:hint="default" w:ascii="黑体" w:hAnsi="黑体" w:eastAsia="黑体" w:cs="黑体"/>
          <w:b w:val="0"/>
          <w:bCs w:val="0"/>
          <w:sz w:val="32"/>
          <w:szCs w:val="32"/>
        </w:rPr>
        <w:t>（三）提名意见</w:t>
      </w:r>
    </w:p>
    <w:p w14:paraId="7203DCC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麻醉药作用机制的系统解析及其制剂优化，有望为围术期精确麻醉管理提供坚实的理论基础和创新技术路径，从而推动术后康复质量的提升与远期健康结局的改善。本研究在国家自然科学基金资助下，聚焦包括术中疼痛控制与术后认知功能障碍（POCD）预防等影响加速康复的关键问题，系统开展了麻醉药物机制阐释及干预策略研究，取得以下重要进展：（1）揭示局麻药罗哌卡因在癌痛镇痛及抗肿瘤中的新机制，设计系列新型制剂实现长效镇痛与抑制肿瘤复发的协同效应；（2）揭示围术期脑电过度抑制、神经递质动态网络同步性、中枢炎症可能导致POCD的重要机制，创新性的提出缩短脑电抑制时间、运用氧化铁纳米制剂等干预措施；（3）拓展研究发现细胞自噬性溶酶体再生（ALR）过程受损致肿胀的自噬溶酶体积累，可能是纳米颗粒产生肝毒性的新机制，为安全使用纳米制剂提供理论依据。上述研究成果发表在《Theranostics》《British Journal of Anaesthesia》《Small》等高水平期刊，代表作多次被国际权威杂志评论与推荐，显著拓展了围术期精确麻醉的理论深度与实践路径。该提名材料真实有效，符合填报规范，经公示无异议，同意提名推荐2024年度安徽省自然科学奖。</w:t>
      </w:r>
    </w:p>
    <w:p w14:paraId="0C264C60">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rPr>
      </w:pPr>
      <w:r>
        <w:rPr>
          <w:rFonts w:hint="default" w:ascii="黑体" w:hAnsi="黑体" w:eastAsia="黑体" w:cs="黑体"/>
          <w:b w:val="0"/>
          <w:bCs w:val="0"/>
          <w:sz w:val="32"/>
          <w:szCs w:val="32"/>
        </w:rPr>
        <w:t>（四）项目简介</w:t>
      </w:r>
    </w:p>
    <w:p w14:paraId="41C80D42">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围术期精确麻醉管理是现代医疗质量体系的重要组成部分，不仅关系手术安全，更直接影响患者术后恢复和远期健康结局。麻醉药的作用机制研究及制剂优化，是实现围术期精确麻醉管理目标的关键环节。本项目聚焦疼痛控制、术后认知功能障碍（POCD）预防等影响加速康复的核心问题，系统开展麻醉药物机制阐释及干预策略研究，形成了从基础研究到临床应用的研究闭环，具有显著的科学价值和应用前景。</w:t>
      </w:r>
    </w:p>
    <w:p w14:paraId="32B185F4">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项目依托国家自然科学基金课题支持，取得以下主要创新成果：</w:t>
      </w:r>
    </w:p>
    <w:p w14:paraId="5F6CA77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1. 揭示局麻药罗哌卡因缓解癌痛的分子新机制，并设计系列罗哌卡因新制剂。罗哌卡因肿瘤靶向纳米制剂可通过抑制JAK2/STAT3信号通路、减少VEGF-A释放，显著提升癌痛镇痛效果；同时，该制剂破坏肿瘤细胞的自噬-溶酶体通路，在联合饥饿疗法下增强抗肿瘤效果。此外，罗哌卡因缓释新剂型显著延长手术和化疗镇痛时间，并提升术后免疫应答，降低肿瘤复发风险。</w:t>
      </w:r>
    </w:p>
    <w:p w14:paraId="6661B1E2">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 系统阐明麻醉药诱发POCD的关键分子机制，并提出干预策略。分别从基础研究和临床病例队列研究证实脑电过度抑制、神经递质动态网络同步性、围术期中枢炎症可能是导致POCD的主要机制，创新性的发现术中缩短脑电抑制时间、使用氧化铁纳米制剂抑制中枢神经炎症等干预措施，均可有效预防术后认知功能下降。</w:t>
      </w:r>
    </w:p>
    <w:p w14:paraId="7F8E56DC">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3. 拓展研究纳米制剂的安全性机制，提升其临床应用可行性。发现自噬溶酶体膜上磷脂酰肌醇4-磷酸（PI(4)P）信号受损致使细胞自噬性溶酶体再生（ALR）过程阻断，从而积累过多肿胀的自噬溶酶体，可能是纳米材料产生肝毒性的新机制，而抑制肿胀的自噬溶酶体生成则可避免纳米材料肝毒性，为纳米制剂的安全使用提供了理论依据和新策略。</w:t>
      </w:r>
    </w:p>
    <w:p w14:paraId="12A73B9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color w:val="000000" w:themeColor="text1"/>
          <w:sz w:val="32"/>
          <w:szCs w:val="32"/>
          <w14:textFill>
            <w14:solidFill>
              <w14:schemeClr w14:val="tx1"/>
            </w14:solidFill>
          </w14:textFill>
        </w:rPr>
        <w:t>本项目研究成果发表在《Theranostics》《British Journal of Anaesthesia》《Small》等权威期刊，相关成果被国内外同行高度关注和引用。</w:t>
      </w:r>
      <w:r>
        <w:rPr>
          <w:rFonts w:hint="default" w:ascii="Times New Roman" w:hAnsi="Times New Roman" w:eastAsia="仿宋" w:cs="Times New Roman"/>
          <w:bCs/>
          <w:sz w:val="32"/>
          <w:szCs w:val="32"/>
        </w:rPr>
        <w:t>项目完成人获“国务院政府特殊津贴”“安徽省学术技术带头人”等荣誉称号。</w:t>
      </w:r>
    </w:p>
    <w:p w14:paraId="34A611D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与国内外在麻醉药物机制研究方面，多集中于单一作用通路或特定药物品种的药理特性同类研究相比，本项目在药物机制深入解析、制剂创新和临床转化方面更具系统性和实用性，搭建了围术期精确麻醉管理从药物机制到临床干预的桥梁。项目成果为围术期精确麻醉管理提供了新的理论基础和技术路径。</w:t>
      </w:r>
    </w:p>
    <w:p w14:paraId="2C803878">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rPr>
      </w:pPr>
      <w:r>
        <w:rPr>
          <w:rFonts w:hint="default" w:ascii="黑体" w:hAnsi="黑体" w:eastAsia="黑体" w:cs="黑体"/>
          <w:b w:val="0"/>
          <w:bCs w:val="0"/>
          <w:sz w:val="32"/>
          <w:szCs w:val="32"/>
        </w:rPr>
        <w:t>（五）代表性论文专著目录</w:t>
      </w:r>
    </w:p>
    <w:p w14:paraId="4545395A">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1. Zhang J, Zhu S, Tan Q, Cheng D, Dai Q, Yang Z, Zhang L, Li F, Zuo Y, Dai W, Chen L, Gu E, Xu G, Wei Z, Cao Y, Liu X. Combination therapy with ropivacaine-loaded liposomes and nutrient deprivation for simultaneous cancer therapy and cancer pain relief. Theranostics. 2020;10(11):4885-4899.</w:t>
      </w:r>
    </w:p>
    <w:p w14:paraId="2FAAEFFD">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 Fang PP, Shang ZX, Xu J, Hu J, Zhang SC, Fan YG, Lu Y, Liu XS, Maze M. Contribution of intraoperative electroencephalogram suppression to frailty-associated postoperative delirium: mediation analysis of a prospective surgical cohort. Br J Anaesth. 2023;130(2):e263-e271.</w:t>
      </w:r>
    </w:p>
    <w:p w14:paraId="38D1669A">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color w:val="000000" w:themeColor="text1"/>
          <w:sz w:val="32"/>
          <w:szCs w:val="32"/>
          <w14:textFill>
            <w14:solidFill>
              <w14:schemeClr w14:val="tx1"/>
            </w14:solidFill>
          </w14:textFill>
        </w:rPr>
      </w:pPr>
      <w:r>
        <w:rPr>
          <w:rFonts w:hint="default" w:ascii="Times New Roman" w:hAnsi="Times New Roman" w:eastAsia="仿宋" w:cs="Times New Roman"/>
          <w:bCs/>
          <w:color w:val="000000" w:themeColor="text1"/>
          <w:sz w:val="32"/>
          <w:szCs w:val="32"/>
          <w14:textFill>
            <w14:solidFill>
              <w14:schemeClr w14:val="tx1"/>
            </w14:solidFill>
          </w14:textFill>
        </w:rPr>
        <w:t>3. Zhu Q, Huang Y, Zhu X, Peng L, Wang H, Gao S, Yang Z, Zhang J, Liu X. Mannose-coated superparamagnetic iron oxide nanozyme for preventing postoperative cognitive dysfunction. Mater Today Bio. 2023;19:100568.</w:t>
      </w:r>
    </w:p>
    <w:p w14:paraId="0AFD2B4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4. Zhang JQ, Zhou W, Zhu SS, Lin J, Wei PF, Li FF, Jin PP, Yao H, Zhang YJ, Hu Y, Liu YM, Chen M, Li ZQ, Liu XS, Bai L, Wen LP. Persistency of Enlarged Autolysosomes Underscores Nanoparticle-Induced Autophagy in Hepatocytes. Small. 2017;13(7):10.1002/smll.201602876.</w:t>
      </w:r>
    </w:p>
    <w:p w14:paraId="123A556C">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 xml:space="preserve">5. Qiu GL, Peng LJ, Wang P, Yang ZL, Zhang JQ, Liu H, Zhu XN, Rao J, Liu XS. In vivo imaging reveals a synchronized correlation among neurotransmitter dynamics during propofol and sevoflurane anesthesia. Zool Res. 2024;45(3):679-690. </w:t>
      </w:r>
    </w:p>
    <w:p w14:paraId="6E9A9BC5">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rPr>
      </w:pPr>
      <w:r>
        <w:rPr>
          <w:rFonts w:hint="default" w:ascii="黑体" w:hAnsi="黑体" w:eastAsia="黑体" w:cs="黑体"/>
          <w:b w:val="0"/>
          <w:bCs w:val="0"/>
          <w:sz w:val="32"/>
          <w:szCs w:val="32"/>
        </w:rPr>
        <w:t>（六）主要完成人</w:t>
      </w:r>
    </w:p>
    <w:p w14:paraId="60054E0A">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color w:val="000000"/>
          <w:kern w:val="0"/>
          <w:sz w:val="32"/>
          <w:szCs w:val="32"/>
        </w:rPr>
      </w:pPr>
      <w:r>
        <w:rPr>
          <w:rFonts w:hint="default" w:ascii="Times New Roman" w:hAnsi="Times New Roman" w:eastAsia="仿宋" w:cs="Times New Roman"/>
          <w:bCs/>
          <w:color w:val="000000"/>
          <w:kern w:val="0"/>
          <w:sz w:val="32"/>
          <w:szCs w:val="32"/>
        </w:rPr>
        <w:t>刘学胜、张继千、沈启英、刘虎、杨志来</w:t>
      </w:r>
    </w:p>
    <w:p w14:paraId="23D86298">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rPr>
      </w:pPr>
      <w:r>
        <w:rPr>
          <w:rFonts w:hint="default" w:ascii="黑体" w:hAnsi="黑体" w:eastAsia="黑体" w:cs="黑体"/>
          <w:b w:val="0"/>
          <w:bCs w:val="0"/>
          <w:sz w:val="32"/>
          <w:szCs w:val="32"/>
        </w:rPr>
        <w:t>（七）主要完成单位</w:t>
      </w:r>
    </w:p>
    <w:p w14:paraId="7AE266AD">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z w:val="32"/>
          <w:szCs w:val="32"/>
        </w:rPr>
        <w:t>安徽医科大学</w:t>
      </w:r>
    </w:p>
    <w:p w14:paraId="1FCF7CE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rPr>
      </w:pPr>
      <w:r>
        <w:rPr>
          <w:rFonts w:hint="default" w:ascii="黑体" w:hAnsi="黑体" w:eastAsia="黑体" w:cs="黑体"/>
          <w:b w:val="0"/>
          <w:bCs w:val="0"/>
          <w:sz w:val="32"/>
          <w:szCs w:val="32"/>
        </w:rPr>
        <w:t>（</w:t>
      </w:r>
      <w:r>
        <w:rPr>
          <w:rFonts w:hint="default" w:ascii="黑体" w:hAnsi="黑体" w:eastAsia="黑体" w:cs="黑体"/>
          <w:b w:val="0"/>
          <w:bCs w:val="0"/>
          <w:sz w:val="32"/>
          <w:szCs w:val="32"/>
          <w:lang w:val="en-US" w:eastAsia="zh-CN"/>
        </w:rPr>
        <w:t>八</w:t>
      </w:r>
      <w:r>
        <w:rPr>
          <w:rFonts w:hint="default" w:ascii="黑体" w:hAnsi="黑体" w:eastAsia="黑体" w:cs="黑体"/>
          <w:b w:val="0"/>
          <w:bCs w:val="0"/>
          <w:sz w:val="32"/>
          <w:szCs w:val="32"/>
        </w:rPr>
        <w:t>）论证专家：（专家按姓氏笔画排序)</w:t>
      </w:r>
    </w:p>
    <w:tbl>
      <w:tblPr>
        <w:tblStyle w:val="6"/>
        <w:tblW w:w="9746"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765"/>
        <w:gridCol w:w="1964"/>
        <w:gridCol w:w="3083"/>
      </w:tblGrid>
      <w:tr w14:paraId="06B4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14:paraId="2C6FBACD">
            <w:pPr>
              <w:widowControl/>
              <w:jc w:val="center"/>
              <w:textAlignment w:val="top"/>
              <w:rPr>
                <w:rFonts w:ascii="方正仿宋_GB2312" w:hAnsi="方正仿宋_GB2312" w:cs="方正仿宋_GB2312"/>
                <w:b/>
                <w:bCs/>
                <w:sz w:val="28"/>
                <w:szCs w:val="24"/>
              </w:rPr>
            </w:pPr>
            <w:r>
              <w:rPr>
                <w:rStyle w:val="15"/>
                <w:rFonts w:hint="default"/>
                <w:lang w:bidi="ar"/>
              </w:rPr>
              <w:t>姓名</w:t>
            </w:r>
          </w:p>
        </w:tc>
        <w:tc>
          <w:tcPr>
            <w:tcW w:w="2765" w:type="dxa"/>
          </w:tcPr>
          <w:p w14:paraId="3401D205">
            <w:pPr>
              <w:widowControl/>
              <w:jc w:val="center"/>
              <w:textAlignment w:val="top"/>
              <w:rPr>
                <w:rFonts w:ascii="方正仿宋_GB2312" w:hAnsi="方正仿宋_GB2312" w:cs="方正仿宋_GB2312"/>
                <w:b/>
                <w:bCs/>
                <w:sz w:val="28"/>
                <w:szCs w:val="24"/>
              </w:rPr>
            </w:pPr>
            <w:r>
              <w:rPr>
                <w:rStyle w:val="15"/>
                <w:rFonts w:hint="default"/>
                <w:lang w:bidi="ar"/>
              </w:rPr>
              <w:t>工作单位</w:t>
            </w:r>
          </w:p>
        </w:tc>
        <w:tc>
          <w:tcPr>
            <w:tcW w:w="1964" w:type="dxa"/>
          </w:tcPr>
          <w:p w14:paraId="7515C5FC">
            <w:pPr>
              <w:widowControl/>
              <w:jc w:val="center"/>
              <w:textAlignment w:val="top"/>
              <w:rPr>
                <w:rFonts w:ascii="方正仿宋_GB2312" w:hAnsi="方正仿宋_GB2312" w:cs="方正仿宋_GB2312"/>
                <w:b/>
                <w:bCs/>
                <w:sz w:val="28"/>
                <w:szCs w:val="24"/>
              </w:rPr>
            </w:pPr>
            <w:r>
              <w:rPr>
                <w:rStyle w:val="15"/>
                <w:rFonts w:hint="default"/>
                <w:lang w:bidi="ar"/>
              </w:rPr>
              <w:t>职称</w:t>
            </w:r>
          </w:p>
        </w:tc>
        <w:tc>
          <w:tcPr>
            <w:tcW w:w="3083" w:type="dxa"/>
          </w:tcPr>
          <w:p w14:paraId="37EC234B">
            <w:pPr>
              <w:widowControl/>
              <w:jc w:val="center"/>
              <w:textAlignment w:val="top"/>
              <w:rPr>
                <w:rFonts w:ascii="方正仿宋_GB2312" w:hAnsi="方正仿宋_GB2312" w:cs="方正仿宋_GB2312"/>
                <w:b/>
                <w:bCs/>
                <w:sz w:val="28"/>
                <w:szCs w:val="24"/>
              </w:rPr>
            </w:pPr>
            <w:r>
              <w:rPr>
                <w:rStyle w:val="15"/>
                <w:rFonts w:hint="default"/>
                <w:lang w:bidi="ar"/>
              </w:rPr>
              <w:t>学科专业</w:t>
            </w:r>
          </w:p>
        </w:tc>
      </w:tr>
      <w:tr w14:paraId="779B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7530A729">
            <w:pPr>
              <w:widowControl/>
              <w:jc w:val="center"/>
              <w:textAlignment w:val="center"/>
              <w:rPr>
                <w:rFonts w:asciiTheme="majorEastAsia" w:hAnsiTheme="majorEastAsia" w:eastAsiaTheme="majorEastAsia"/>
                <w:sz w:val="28"/>
                <w:szCs w:val="21"/>
              </w:rPr>
            </w:pPr>
            <w:r>
              <w:rPr>
                <w:rStyle w:val="16"/>
                <w:rFonts w:hint="eastAsia"/>
                <w:lang w:val="en-US" w:eastAsia="zh-CN" w:bidi="ar"/>
              </w:rPr>
              <w:t>陶芳标</w:t>
            </w:r>
          </w:p>
        </w:tc>
        <w:tc>
          <w:tcPr>
            <w:tcW w:w="2765" w:type="dxa"/>
            <w:vAlign w:val="center"/>
          </w:tcPr>
          <w:p w14:paraId="7222B432">
            <w:pPr>
              <w:widowControl/>
              <w:jc w:val="center"/>
              <w:textAlignment w:val="center"/>
              <w:rPr>
                <w:rFonts w:asciiTheme="majorEastAsia" w:hAnsiTheme="majorEastAsia" w:eastAsiaTheme="majorEastAsia"/>
                <w:sz w:val="28"/>
                <w:szCs w:val="21"/>
              </w:rPr>
            </w:pPr>
            <w:r>
              <w:rPr>
                <w:rStyle w:val="16"/>
                <w:rFonts w:hint="default"/>
                <w:lang w:bidi="ar"/>
              </w:rPr>
              <w:t>安徽医科大学</w:t>
            </w:r>
          </w:p>
        </w:tc>
        <w:tc>
          <w:tcPr>
            <w:tcW w:w="1964" w:type="dxa"/>
            <w:vAlign w:val="center"/>
          </w:tcPr>
          <w:p w14:paraId="7F13E6E7">
            <w:pPr>
              <w:widowControl/>
              <w:jc w:val="center"/>
              <w:textAlignment w:val="center"/>
              <w:rPr>
                <w:rFonts w:asciiTheme="majorEastAsia" w:hAnsiTheme="majorEastAsia" w:eastAsiaTheme="majorEastAsia"/>
                <w:sz w:val="28"/>
                <w:szCs w:val="21"/>
              </w:rPr>
            </w:pPr>
            <w:r>
              <w:rPr>
                <w:rStyle w:val="16"/>
                <w:rFonts w:hint="default"/>
                <w:lang w:bidi="ar"/>
              </w:rPr>
              <w:t>教授</w:t>
            </w:r>
          </w:p>
        </w:tc>
        <w:tc>
          <w:tcPr>
            <w:tcW w:w="3083" w:type="dxa"/>
            <w:vAlign w:val="center"/>
          </w:tcPr>
          <w:p w14:paraId="792E5D24">
            <w:pPr>
              <w:widowControl/>
              <w:jc w:val="center"/>
              <w:textAlignment w:val="center"/>
              <w:rPr>
                <w:rFonts w:asciiTheme="majorEastAsia" w:hAnsiTheme="majorEastAsia" w:eastAsiaTheme="majorEastAsia"/>
                <w:sz w:val="28"/>
                <w:szCs w:val="21"/>
              </w:rPr>
            </w:pPr>
            <w:r>
              <w:rPr>
                <w:rStyle w:val="16"/>
                <w:rFonts w:hint="default"/>
                <w:lang w:bidi="ar"/>
              </w:rPr>
              <w:t>公共卫生与预防医学</w:t>
            </w:r>
          </w:p>
        </w:tc>
      </w:tr>
      <w:tr w14:paraId="1FA4D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628D0C28">
            <w:pPr>
              <w:widowControl/>
              <w:jc w:val="center"/>
              <w:textAlignment w:val="center"/>
              <w:rPr>
                <w:rStyle w:val="16"/>
                <w:rFonts w:hint="eastAsia"/>
                <w:lang w:val="en-US" w:eastAsia="zh-CN" w:bidi="ar"/>
              </w:rPr>
            </w:pPr>
            <w:r>
              <w:rPr>
                <w:rStyle w:val="16"/>
                <w:rFonts w:hint="eastAsia"/>
                <w:lang w:val="en-US" w:eastAsia="zh-CN" w:bidi="ar"/>
              </w:rPr>
              <w:t>李俊</w:t>
            </w:r>
          </w:p>
        </w:tc>
        <w:tc>
          <w:tcPr>
            <w:tcW w:w="2765" w:type="dxa"/>
            <w:vAlign w:val="center"/>
          </w:tcPr>
          <w:p w14:paraId="5CD0E0F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4454447D">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2FFE7E5D">
            <w:pPr>
              <w:widowControl/>
              <w:jc w:val="center"/>
              <w:textAlignment w:val="center"/>
              <w:rPr>
                <w:rStyle w:val="16"/>
                <w:rFonts w:hint="eastAsia"/>
                <w:lang w:val="en-US" w:eastAsia="zh-CN" w:bidi="ar"/>
              </w:rPr>
            </w:pPr>
            <w:r>
              <w:rPr>
                <w:rStyle w:val="16"/>
                <w:rFonts w:hint="eastAsia"/>
                <w:lang w:val="en-US" w:eastAsia="zh-CN" w:bidi="ar"/>
              </w:rPr>
              <w:t>药理学</w:t>
            </w:r>
          </w:p>
        </w:tc>
      </w:tr>
      <w:tr w14:paraId="58BF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3AE99381">
            <w:pPr>
              <w:widowControl/>
              <w:jc w:val="center"/>
              <w:textAlignment w:val="center"/>
              <w:rPr>
                <w:rStyle w:val="16"/>
                <w:rFonts w:hint="eastAsia"/>
                <w:lang w:val="en-US" w:eastAsia="zh-CN" w:bidi="ar"/>
              </w:rPr>
            </w:pPr>
            <w:r>
              <w:rPr>
                <w:rStyle w:val="16"/>
                <w:rFonts w:hint="eastAsia"/>
                <w:lang w:val="en-US" w:eastAsia="zh-CN" w:bidi="ar"/>
              </w:rPr>
              <w:t>沈继龙</w:t>
            </w:r>
          </w:p>
        </w:tc>
        <w:tc>
          <w:tcPr>
            <w:tcW w:w="2765" w:type="dxa"/>
            <w:vAlign w:val="center"/>
          </w:tcPr>
          <w:p w14:paraId="1B60CFDF">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7989D0F6">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4F4CDCAC">
            <w:pPr>
              <w:widowControl/>
              <w:jc w:val="center"/>
              <w:textAlignment w:val="center"/>
              <w:rPr>
                <w:rStyle w:val="16"/>
                <w:rFonts w:hint="eastAsia"/>
                <w:lang w:val="en-US" w:eastAsia="zh-CN" w:bidi="ar"/>
              </w:rPr>
            </w:pPr>
            <w:r>
              <w:rPr>
                <w:rStyle w:val="16"/>
                <w:rFonts w:hint="eastAsia"/>
                <w:lang w:val="en-US" w:eastAsia="zh-CN" w:bidi="ar"/>
              </w:rPr>
              <w:t>基础医学（感染与免疫）</w:t>
            </w:r>
          </w:p>
        </w:tc>
      </w:tr>
      <w:tr w14:paraId="07DB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18CE6868">
            <w:pPr>
              <w:widowControl/>
              <w:jc w:val="center"/>
              <w:textAlignment w:val="center"/>
              <w:rPr>
                <w:rStyle w:val="16"/>
                <w:rFonts w:hint="eastAsia"/>
                <w:lang w:val="en-US" w:eastAsia="zh-CN" w:bidi="ar"/>
              </w:rPr>
            </w:pPr>
            <w:r>
              <w:rPr>
                <w:rStyle w:val="16"/>
                <w:rFonts w:hint="default"/>
                <w:lang w:val="en-US" w:eastAsia="zh-CN" w:bidi="ar"/>
              </w:rPr>
              <w:t>徐德祥</w:t>
            </w:r>
          </w:p>
        </w:tc>
        <w:tc>
          <w:tcPr>
            <w:tcW w:w="2765" w:type="dxa"/>
            <w:vAlign w:val="center"/>
          </w:tcPr>
          <w:p w14:paraId="53C8386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39C109A3">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1F003A40">
            <w:pPr>
              <w:widowControl/>
              <w:jc w:val="center"/>
              <w:textAlignment w:val="center"/>
              <w:rPr>
                <w:rStyle w:val="16"/>
                <w:rFonts w:hint="eastAsia"/>
                <w:lang w:val="en-US" w:eastAsia="zh-CN" w:bidi="ar"/>
              </w:rPr>
            </w:pPr>
            <w:r>
              <w:rPr>
                <w:rStyle w:val="16"/>
                <w:rFonts w:hint="eastAsia"/>
                <w:lang w:val="en-US" w:eastAsia="zh-CN" w:bidi="ar"/>
              </w:rPr>
              <w:t>生物医学</w:t>
            </w:r>
          </w:p>
        </w:tc>
      </w:tr>
      <w:tr w14:paraId="68D8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09FE2B6F">
            <w:pPr>
              <w:widowControl/>
              <w:jc w:val="center"/>
              <w:textAlignment w:val="center"/>
              <w:rPr>
                <w:rStyle w:val="16"/>
                <w:rFonts w:hint="eastAsia"/>
                <w:lang w:val="en-US" w:eastAsia="zh-CN" w:bidi="ar"/>
              </w:rPr>
            </w:pPr>
            <w:r>
              <w:rPr>
                <w:rStyle w:val="16"/>
                <w:rFonts w:hint="eastAsia"/>
                <w:lang w:val="en-US" w:eastAsia="zh-CN" w:bidi="ar"/>
              </w:rPr>
              <w:t>周洪</w:t>
            </w:r>
          </w:p>
        </w:tc>
        <w:tc>
          <w:tcPr>
            <w:tcW w:w="2765" w:type="dxa"/>
            <w:vAlign w:val="center"/>
          </w:tcPr>
          <w:p w14:paraId="50691A1B">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5CF6764A">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04B7AC0D">
            <w:pPr>
              <w:widowControl/>
              <w:jc w:val="center"/>
              <w:textAlignment w:val="center"/>
              <w:rPr>
                <w:rStyle w:val="16"/>
                <w:rFonts w:hint="eastAsia"/>
                <w:lang w:val="en-US" w:eastAsia="zh-CN" w:bidi="ar"/>
              </w:rPr>
            </w:pPr>
            <w:r>
              <w:rPr>
                <w:rStyle w:val="16"/>
                <w:rFonts w:hint="eastAsia"/>
                <w:lang w:val="en-US" w:eastAsia="zh-CN" w:bidi="ar"/>
              </w:rPr>
              <w:t>免疫学</w:t>
            </w:r>
          </w:p>
        </w:tc>
      </w:tr>
    </w:tbl>
    <w:p w14:paraId="12B9129E">
      <w:pPr>
        <w:adjustRightInd w:val="0"/>
        <w:snapToGrid w:val="0"/>
        <w:spacing w:line="500" w:lineRule="exact"/>
        <w:rPr>
          <w:rFonts w:hint="eastAsia" w:ascii="仿宋_GB2312" w:hAnsi="仿宋_GB2312" w:eastAsia="仿宋_GB2312" w:cs="仿宋_GB2312"/>
          <w:sz w:val="32"/>
          <w:szCs w:val="32"/>
        </w:rPr>
      </w:pPr>
      <w:bookmarkStart w:id="0" w:name="_GoBack"/>
      <w:bookmarkEnd w:id="0"/>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BF65BD-FE9E-41DE-B79A-1F68D2B692B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5E92637-AD7F-45C2-B79C-7810A4049583}"/>
  </w:font>
  <w:font w:name="方正小标宋_GBK">
    <w:panose1 w:val="03000509000000000000"/>
    <w:charset w:val="86"/>
    <w:family w:val="script"/>
    <w:pitch w:val="default"/>
    <w:sig w:usb0="00000001" w:usb1="080E0000" w:usb2="00000000" w:usb3="00000000" w:csb0="00040000" w:csb1="00000000"/>
    <w:embedRegular r:id="rId3" w:fontKey="{A36B897E-7713-4431-9E86-22F53E734893}"/>
  </w:font>
  <w:font w:name="微软雅黑">
    <w:panose1 w:val="020B0503020204020204"/>
    <w:charset w:val="86"/>
    <w:family w:val="swiss"/>
    <w:pitch w:val="default"/>
    <w:sig w:usb0="80000287" w:usb1="280F3C52" w:usb2="00000016" w:usb3="00000000" w:csb0="0004001F" w:csb1="00000000"/>
  </w:font>
  <w:font w:name="___WRD_EMBED_SUB_40">
    <w:altName w:val="宋体"/>
    <w:panose1 w:val="00000000000000000000"/>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embedRegular r:id="rId4" w:fontKey="{E7846F28-F455-43A9-A26A-CFC8A60A81DE}"/>
  </w:font>
  <w:font w:name="仿宋">
    <w:panose1 w:val="02010609060101010101"/>
    <w:charset w:val="86"/>
    <w:family w:val="auto"/>
    <w:pitch w:val="default"/>
    <w:sig w:usb0="800002BF" w:usb1="38CF7CFA" w:usb2="00000016" w:usb3="00000000" w:csb0="00040001" w:csb1="00000000"/>
    <w:embedRegular r:id="rId5" w:fontKey="{4FFD1A2D-D170-4B24-9AA1-4C2B07194C2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zZWMxMzIyNjgyNjAxZTM4ZGY0Y2NkNTAzZGE5ZWIifQ=="/>
  </w:docVars>
  <w:rsids>
    <w:rsidRoot w:val="00F30850"/>
    <w:rsid w:val="0004228A"/>
    <w:rsid w:val="0009164C"/>
    <w:rsid w:val="000B5A4F"/>
    <w:rsid w:val="00120584"/>
    <w:rsid w:val="0014360C"/>
    <w:rsid w:val="00190695"/>
    <w:rsid w:val="001B2C92"/>
    <w:rsid w:val="001D2FAB"/>
    <w:rsid w:val="00261B39"/>
    <w:rsid w:val="00273F8C"/>
    <w:rsid w:val="002A70DE"/>
    <w:rsid w:val="002E398A"/>
    <w:rsid w:val="00352F28"/>
    <w:rsid w:val="003730C1"/>
    <w:rsid w:val="00400D0F"/>
    <w:rsid w:val="00412444"/>
    <w:rsid w:val="004B5F86"/>
    <w:rsid w:val="004C44EF"/>
    <w:rsid w:val="004D17DA"/>
    <w:rsid w:val="00500138"/>
    <w:rsid w:val="00557D56"/>
    <w:rsid w:val="005749F1"/>
    <w:rsid w:val="00614123"/>
    <w:rsid w:val="006959DA"/>
    <w:rsid w:val="006B4846"/>
    <w:rsid w:val="006D0B59"/>
    <w:rsid w:val="0070651E"/>
    <w:rsid w:val="00780F4F"/>
    <w:rsid w:val="007E7099"/>
    <w:rsid w:val="0082088D"/>
    <w:rsid w:val="008242B6"/>
    <w:rsid w:val="00880386"/>
    <w:rsid w:val="00905DB2"/>
    <w:rsid w:val="009250FE"/>
    <w:rsid w:val="009501DD"/>
    <w:rsid w:val="00964EA0"/>
    <w:rsid w:val="00975D66"/>
    <w:rsid w:val="009D6E25"/>
    <w:rsid w:val="00A41334"/>
    <w:rsid w:val="00A72235"/>
    <w:rsid w:val="00A8233E"/>
    <w:rsid w:val="00A91BE6"/>
    <w:rsid w:val="00C15C79"/>
    <w:rsid w:val="00C45AC4"/>
    <w:rsid w:val="00C54C65"/>
    <w:rsid w:val="00C56E9F"/>
    <w:rsid w:val="00D013BB"/>
    <w:rsid w:val="00D5135D"/>
    <w:rsid w:val="00D64278"/>
    <w:rsid w:val="00D76B30"/>
    <w:rsid w:val="00D77287"/>
    <w:rsid w:val="00DC73F1"/>
    <w:rsid w:val="00E00607"/>
    <w:rsid w:val="00E103F8"/>
    <w:rsid w:val="00E30582"/>
    <w:rsid w:val="00E31268"/>
    <w:rsid w:val="00E3589F"/>
    <w:rsid w:val="00EA0EAB"/>
    <w:rsid w:val="00EB04A2"/>
    <w:rsid w:val="00EE66CF"/>
    <w:rsid w:val="00F16E91"/>
    <w:rsid w:val="00F30850"/>
    <w:rsid w:val="00F434C3"/>
    <w:rsid w:val="00F9071F"/>
    <w:rsid w:val="00FD6B89"/>
    <w:rsid w:val="015C2B0C"/>
    <w:rsid w:val="01EE5E5A"/>
    <w:rsid w:val="037979A5"/>
    <w:rsid w:val="058631A6"/>
    <w:rsid w:val="07E850FA"/>
    <w:rsid w:val="083E4D1A"/>
    <w:rsid w:val="08670714"/>
    <w:rsid w:val="0E601E8E"/>
    <w:rsid w:val="0F2B78D2"/>
    <w:rsid w:val="0F7F6343"/>
    <w:rsid w:val="1134550A"/>
    <w:rsid w:val="130D010A"/>
    <w:rsid w:val="15316332"/>
    <w:rsid w:val="16A62408"/>
    <w:rsid w:val="18001FEB"/>
    <w:rsid w:val="18023FB5"/>
    <w:rsid w:val="18AB01A9"/>
    <w:rsid w:val="19F85670"/>
    <w:rsid w:val="1AA069CF"/>
    <w:rsid w:val="1B157B5C"/>
    <w:rsid w:val="1C0E52F2"/>
    <w:rsid w:val="1C3E1334"/>
    <w:rsid w:val="1E1C731F"/>
    <w:rsid w:val="1FDC50EC"/>
    <w:rsid w:val="21222FD3"/>
    <w:rsid w:val="258C3110"/>
    <w:rsid w:val="25A329C8"/>
    <w:rsid w:val="265579A6"/>
    <w:rsid w:val="294423CE"/>
    <w:rsid w:val="298B1876"/>
    <w:rsid w:val="2AF05EF0"/>
    <w:rsid w:val="2C6721E1"/>
    <w:rsid w:val="2DE25FC3"/>
    <w:rsid w:val="2E6A5220"/>
    <w:rsid w:val="2F2F255C"/>
    <w:rsid w:val="303F594F"/>
    <w:rsid w:val="31C559E0"/>
    <w:rsid w:val="32385A29"/>
    <w:rsid w:val="32B37F2E"/>
    <w:rsid w:val="33941996"/>
    <w:rsid w:val="3399537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semiHidden/>
    <w:qFormat/>
    <w:uiPriority w:val="99"/>
    <w:rPr>
      <w:sz w:val="18"/>
      <w:szCs w:val="18"/>
    </w:rPr>
  </w:style>
  <w:style w:type="character" w:customStyle="1" w:styleId="11">
    <w:name w:val="页脚 字符"/>
    <w:basedOn w:val="7"/>
    <w:link w:val="3"/>
    <w:autoRedefine/>
    <w:semiHidden/>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5</Pages>
  <Words>1783</Words>
  <Characters>2777</Characters>
  <Lines>59</Lines>
  <Paragraphs>27</Paragraphs>
  <TotalTime>1</TotalTime>
  <ScaleCrop>false</ScaleCrop>
  <LinksUpToDate>false</LinksUpToDate>
  <CharactersWithSpaces>2986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2025-06-12T07:06:00Z</dcterms:created>
  <dc:creator>18956</dc:creator>
  <cp:lastModifiedBy>柒柒</cp:lastModifiedBy>
  <dcterms:modified xsi:type="dcterms:W3CDTF">2025-06-16T04:06:42Z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