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7284C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保留肾单位手术肾功能保护的基础研究和改良技术推广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二）提名者：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）主要知识产权和标准规范等目录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58C639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1F8FA124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64259EC5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1248CA5B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国家</w:t>
            </w:r>
          </w:p>
          <w:p w14:paraId="0D87AFEC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2974A051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7A370403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2BA1D6F6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证书编号</w:t>
            </w:r>
            <w:r>
              <w:rPr>
                <w:rFonts w:ascii="Times New Roman" w:eastAsia="黑体"/>
                <w:bCs/>
                <w:color w:val="000000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7AC0562F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3FB73978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732475C0">
            <w:pPr>
              <w:pStyle w:val="3"/>
              <w:spacing w:line="390" w:lineRule="exact"/>
              <w:ind w:firstLine="0" w:firstLineChars="0"/>
              <w:jc w:val="center"/>
              <w:rPr>
                <w:rFonts w:ascii="Times New Roman" w:eastAsia="黑体"/>
                <w:bCs/>
                <w:color w:val="000000"/>
              </w:rPr>
            </w:pPr>
            <w:r>
              <w:rPr>
                <w:rFonts w:ascii="Times New Roman" w:eastAsia="黑体"/>
                <w:bCs/>
                <w:color w:val="000000"/>
              </w:rPr>
              <w:t>发明专利（标准）有效状态</w:t>
            </w:r>
          </w:p>
        </w:tc>
      </w:tr>
      <w:tr w14:paraId="5EEA29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</w:tcPr>
          <w:p w14:paraId="47A0075A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FF0000"/>
              </w:rPr>
            </w:pPr>
            <w:r>
              <w:rPr>
                <w:rFonts w:hint="eastAsia" w:ascii="Times New Roman"/>
                <w:bCs/>
                <w:color w:val="000000"/>
              </w:rPr>
              <w:t>专利权</w:t>
            </w:r>
          </w:p>
        </w:tc>
        <w:tc>
          <w:tcPr>
            <w:tcW w:w="1260" w:type="dxa"/>
          </w:tcPr>
          <w:p w14:paraId="6146EF8B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ascii="Times New Roman"/>
                <w:bCs/>
                <w:color w:val="000000"/>
              </w:rPr>
              <w:t>一种可调节压力的肾动脉阻断钳</w:t>
            </w:r>
          </w:p>
        </w:tc>
        <w:tc>
          <w:tcPr>
            <w:tcW w:w="1022" w:type="dxa"/>
          </w:tcPr>
          <w:p w14:paraId="79609E41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hint="eastAsia" w:ascii="Times New Roman"/>
                <w:bCs/>
                <w:color w:val="000000"/>
              </w:rPr>
              <w:t>中国</w:t>
            </w:r>
          </w:p>
        </w:tc>
        <w:tc>
          <w:tcPr>
            <w:tcW w:w="849" w:type="dxa"/>
          </w:tcPr>
          <w:p w14:paraId="0AA41FFF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ascii="Times New Roman"/>
                <w:bCs/>
                <w:color w:val="000000"/>
              </w:rPr>
              <w:t>CN 113892991 B</w:t>
            </w:r>
          </w:p>
          <w:p w14:paraId="556C4131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</w:p>
        </w:tc>
        <w:tc>
          <w:tcPr>
            <w:tcW w:w="992" w:type="dxa"/>
          </w:tcPr>
          <w:p w14:paraId="350DE08C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ascii="Times New Roman"/>
                <w:bCs/>
                <w:color w:val="000000"/>
              </w:rPr>
              <w:t>2023年05月16日</w:t>
            </w:r>
          </w:p>
          <w:p w14:paraId="706C3C57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</w:p>
        </w:tc>
        <w:tc>
          <w:tcPr>
            <w:tcW w:w="1134" w:type="dxa"/>
          </w:tcPr>
          <w:p w14:paraId="0353BB83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hint="eastAsia" w:ascii="Times New Roman"/>
                <w:bCs/>
                <w:color w:val="000000"/>
              </w:rPr>
              <w:t>证书号第5977359号</w:t>
            </w:r>
          </w:p>
          <w:p w14:paraId="3E4D4544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</w:p>
        </w:tc>
        <w:tc>
          <w:tcPr>
            <w:tcW w:w="850" w:type="dxa"/>
          </w:tcPr>
          <w:p w14:paraId="35670FC8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ascii="Times New Roman"/>
                <w:bCs/>
                <w:color w:val="000000"/>
              </w:rPr>
              <w:t>安徽医科大学第二附属医院</w:t>
            </w:r>
          </w:p>
        </w:tc>
        <w:tc>
          <w:tcPr>
            <w:tcW w:w="851" w:type="dxa"/>
          </w:tcPr>
          <w:p w14:paraId="4DD54079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  <w:r>
              <w:rPr>
                <w:rFonts w:hint="eastAsia" w:ascii="Times New Roman"/>
                <w:bCs/>
                <w:color w:val="000000"/>
              </w:rPr>
              <w:t>方露</w:t>
            </w:r>
          </w:p>
        </w:tc>
        <w:tc>
          <w:tcPr>
            <w:tcW w:w="1183" w:type="dxa"/>
          </w:tcPr>
          <w:p w14:paraId="0917537A">
            <w:pPr>
              <w:pStyle w:val="3"/>
              <w:spacing w:line="390" w:lineRule="exact"/>
              <w:ind w:firstLine="0" w:firstLineChars="0"/>
              <w:jc w:val="left"/>
              <w:rPr>
                <w:rFonts w:ascii="Times New Roman"/>
                <w:bCs/>
                <w:color w:val="000000"/>
              </w:rPr>
            </w:pPr>
          </w:p>
        </w:tc>
      </w:tr>
    </w:tbl>
    <w:p w14:paraId="100627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</w:p>
    <w:p w14:paraId="68B309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eastAsia="zh-CN"/>
        </w:rPr>
        <w:t>张涛、马嘉兴、方露、林光正、钱伟伟、孙欣</w:t>
      </w:r>
    </w:p>
    <w:p w14:paraId="475531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主要完成单位</w:t>
      </w:r>
    </w:p>
    <w:p w14:paraId="12B912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bookmarkStart w:id="0" w:name="_GoBack" w:colFirst="0" w:colLast="3"/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bookmarkEnd w:id="0"/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7178D7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DAF12E-CF03-4DF7-95E7-030869B82A6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E0C5E6C-E396-486D-A9E3-B022C4A9929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C8D30C2-1391-4430-9260-DD518866739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9C15C45-0A56-44D4-8775-FD289A0797A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2FBAC0"/>
    <w:multiLevelType w:val="singleLevel"/>
    <w:tmpl w:val="362FBAC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CB25BB7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4B140C"/>
    <w:rsid w:val="38FB3BFA"/>
    <w:rsid w:val="39924D42"/>
    <w:rsid w:val="39F94DC1"/>
    <w:rsid w:val="3A4B6C9E"/>
    <w:rsid w:val="3AAE3E96"/>
    <w:rsid w:val="3B247C1B"/>
    <w:rsid w:val="3C6E0900"/>
    <w:rsid w:val="3E265A58"/>
    <w:rsid w:val="3E9D39C3"/>
    <w:rsid w:val="3EE15E23"/>
    <w:rsid w:val="3F8F762D"/>
    <w:rsid w:val="3FEE25A6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3316ADA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392</Words>
  <Characters>415</Characters>
  <Lines>46</Lines>
  <Paragraphs>13</Paragraphs>
  <TotalTime>0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2025-06-17T07:25:05Z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EE15E50A2238435392EDCC1D1B53A80D_13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