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spacing w:val="40"/>
          <w:w w:val="55"/>
        </w:rPr>
      </w:pPr>
      <w:r>
        <w:rPr>
          <w:rFonts w:hint="eastAsia" w:ascii="宋体" w:hAnsi="宋体"/>
          <w:b/>
          <w:color w:val="FF0000"/>
          <w:spacing w:val="40"/>
          <w:w w:val="55"/>
          <w:sz w:val="140"/>
          <w:szCs w:val="140"/>
        </w:rPr>
        <w:t>安徽医科大学文件</w:t>
      </w:r>
    </w:p>
    <w:p/>
    <w:p>
      <w:r>
        <mc:AlternateContent>
          <mc:Choice Requires="wpc">
            <w:drawing>
              <wp:anchor distT="0" distB="0" distL="114300" distR="114300" simplePos="0" relativeHeight="251660288" behindDoc="0" locked="0" layoutInCell="1" allowOverlap="1">
                <wp:simplePos x="0" y="0"/>
                <wp:positionH relativeFrom="column">
                  <wp:posOffset>79375</wp:posOffset>
                </wp:positionH>
                <wp:positionV relativeFrom="paragraph">
                  <wp:posOffset>147320</wp:posOffset>
                </wp:positionV>
                <wp:extent cx="5287010" cy="792480"/>
                <wp:effectExtent l="0" t="0" r="8890" b="0"/>
                <wp:wrapNone/>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76200">
                          <a:noFill/>
                        </a:ln>
                      </wpc:whole>
                      <wps:wsp>
                        <wps:cNvPr id="4" name="直接连接符 4"/>
                        <wps:cNvCnPr/>
                        <wps:spPr>
                          <a:xfrm>
                            <a:off x="0" y="594360"/>
                            <a:ext cx="5257800" cy="635"/>
                          </a:xfrm>
                          <a:prstGeom prst="line">
                            <a:avLst/>
                          </a:prstGeom>
                          <a:ln w="31750" cap="flat" cmpd="sng">
                            <a:solidFill>
                              <a:srgbClr val="FF0000"/>
                            </a:solidFill>
                            <a:prstDash val="solid"/>
                            <a:headEnd type="none" w="med" len="med"/>
                            <a:tailEnd type="none" w="med" len="med"/>
                          </a:ln>
                        </wps:spPr>
                        <wps:bodyPr upright="1"/>
                      </wps:wsp>
                      <wps:wsp>
                        <wps:cNvPr id="5" name="文本框 5"/>
                        <wps:cNvSpPr txBox="1"/>
                        <wps:spPr>
                          <a:xfrm>
                            <a:off x="0" y="0"/>
                            <a:ext cx="5257800" cy="396240"/>
                          </a:xfrm>
                          <a:prstGeom prst="rect">
                            <a:avLst/>
                          </a:prstGeom>
                          <a:solidFill>
                            <a:srgbClr val="FFFFFF"/>
                          </a:solidFill>
                          <a:ln>
                            <a:noFill/>
                          </a:ln>
                        </wps:spPr>
                        <wps:txbx>
                          <w:txbxContent>
                            <w:p>
                              <w:pPr>
                                <w:jc w:val="center"/>
                                <w:rPr>
                                  <w:rFonts w:hint="eastAsia" w:ascii="仿宋_GB2312" w:eastAsia="仿宋_GB2312"/>
                                  <w:sz w:val="32"/>
                                  <w:szCs w:val="32"/>
                                </w:rPr>
                              </w:pPr>
                              <w:r>
                                <w:rPr>
                                  <w:rFonts w:hint="eastAsia" w:ascii="仿宋_GB2312" w:eastAsia="仿宋_GB2312"/>
                                  <w:sz w:val="32"/>
                                  <w:szCs w:val="32"/>
                                </w:rPr>
                                <w:t>校科字〔2019〕14号</w:t>
                              </w:r>
                            </w:p>
                          </w:txbxContent>
                        </wps:txbx>
                        <wps:bodyPr upright="1"/>
                      </wps:wsp>
                    </wpc:wpc>
                  </a:graphicData>
                </a:graphic>
              </wp:anchor>
            </w:drawing>
          </mc:Choice>
          <mc:Fallback>
            <w:pict>
              <v:group id="_x0000_s1026" o:spid="_x0000_s1026" o:spt="203" style="position:absolute;left:0pt;margin-left:6.25pt;margin-top:11.6pt;height:62.4pt;width:416.3pt;z-index:251660288;mso-width-relative:page;mso-height-relative:page;" coordsize="5287010,792480" editas="canvas" o:gfxdata="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JAfzcHYAAAACQEAAA8AAAAAAAAAAQAgAAAAIgAAAGRycy9kb3ducmV2Lnht&#10;bFBLAQIUABQAAAAIAIdO4kCYN6YfpAIAAGYGAAAOAAAAAAAAAAEAIAAAACcBAABkcnMvZTJvRG9j&#10;LnhtbFBLBQYAAAAABgAGAFkBAAA9BgAAAAA=&#10;">
                <o:lock v:ext="edit" aspectratio="f"/>
                <v:shape id="_x0000_s1026" o:spid="_x0000_s1026" style="position:absolute;left:0;top:0;height:792480;width:5287010;" filled="f" stroked="f" coordsize="21600,21600" o:gfxdata="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QH83B2AAAAAkBAAAPAAAAAAAAAAEAIAAAACIAAABkcnMv&#10;ZG93bnJldi54bWxQSwECFAAUAAAACACHTuJANOYBBnUCAADvBQAADgAAAAAAAAABACAAAAAnAQAA&#10;ZHJzL2Uyb0RvYy54bWxQSwUGAAAAAAYABgBZAQAADgYAAAAA&#10;">
                  <v:fill on="f" focussize="0,0"/>
                  <v:stroke on="f" weight="6pt"/>
                  <v:imagedata o:title=""/>
                  <o:lock v:ext="edit" aspectratio="t"/>
                </v:shape>
                <v:line id="_x0000_s1026" o:spid="_x0000_s1026" o:spt="20" style="position:absolute;left:0;top:594360;height:635;width:5257800;" filled="f" stroked="t" coordsize="21600,21600" o:gfxdata="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UwmSX2AAA&#10;AAkBAAAPAAAAAAAAAAEAIAAAACIAAABkcnMvZG93bnJldi54bWxQSwECFAAUAAAACACHTuJARVkd&#10;6eUBAACeAwAADgAAAAAAAAABACAAAAAnAQAAZHJzL2Uyb0RvYy54bWxQSwUGAAAAAAYABgBZAQAA&#10;fgUAAAAA&#10;">
                  <v:fill on="f" focussize="0,0"/>
                  <v:stroke weight="2.5pt" color="#FF0000" joinstyle="round"/>
                  <v:imagedata o:title=""/>
                  <o:lock v:ext="edit" aspectratio="f"/>
                </v:line>
                <v:shape id="_x0000_s1026" o:spid="_x0000_s1026" o:spt="202" type="#_x0000_t202" style="position:absolute;left:0;top:0;height:396240;width:5257800;" fillcolor="#FFFFFF" filled="t" stroked="f" coordsize="21600,21600" o:gfxdata="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IOpUZvWAAAACQEAAA8A&#10;AAAAAAAAAQAgAAAAIgAAAGRycy9kb3ducmV2LnhtbFBLAQIUABQAAAAIAIdO4kApKGjhpwEAACkD&#10;AAAOAAAAAAAAAAEAIAAAACUBAABkcnMvZTJvRG9jLnhtbFBLBQYAAAAABgAGAFkBAAA+BQAAAAA=&#10;">
                  <v:fill on="t" focussize="0,0"/>
                  <v:stroke on="f"/>
                  <v:imagedata o:title=""/>
                  <o:lock v:ext="edit" aspectratio="f"/>
                  <v:textbox>
                    <w:txbxContent>
                      <w:p>
                        <w:pPr>
                          <w:jc w:val="center"/>
                          <w:rPr>
                            <w:rFonts w:hint="eastAsia" w:ascii="仿宋_GB2312" w:eastAsia="仿宋_GB2312"/>
                            <w:sz w:val="32"/>
                            <w:szCs w:val="32"/>
                          </w:rPr>
                        </w:pPr>
                        <w:r>
                          <w:rPr>
                            <w:rFonts w:hint="eastAsia" w:ascii="仿宋_GB2312" w:eastAsia="仿宋_GB2312"/>
                            <w:sz w:val="32"/>
                            <w:szCs w:val="32"/>
                          </w:rPr>
                          <w:t>校科字〔2019〕14号</w:t>
                        </w:r>
                      </w:p>
                    </w:txbxContent>
                  </v:textbox>
                </v:shape>
              </v:group>
            </w:pict>
          </mc:Fallback>
        </mc:AlternateContent>
      </w:r>
    </w:p>
    <w:p/>
    <w:p/>
    <w:p/>
    <w:p>
      <w:pPr>
        <w:rPr>
          <w:rFonts w:hint="eastAsia"/>
        </w:rPr>
      </w:pPr>
    </w:p>
    <w:p>
      <w:pPr>
        <w:pStyle w:val="5"/>
        <w:spacing w:before="0" w:after="0"/>
        <w:rPr>
          <w:rFonts w:hint="eastAsia" w:ascii="方正小标宋_GBK" w:eastAsia="方正小标宋_GBK"/>
          <w:b w:val="0"/>
          <w:sz w:val="44"/>
          <w:szCs w:val="44"/>
        </w:rPr>
      </w:pPr>
      <w:r>
        <w:rPr>
          <w:rFonts w:hint="eastAsia" w:ascii="方正小标宋_GBK" w:eastAsia="方正小标宋_GBK"/>
          <w:b w:val="0"/>
          <w:sz w:val="44"/>
          <w:szCs w:val="44"/>
        </w:rPr>
        <w:t>关于印发《安徽医科大学科研水</w:t>
      </w:r>
      <w:bookmarkStart w:id="1" w:name="_GoBack"/>
      <w:bookmarkEnd w:id="1"/>
      <w:r>
        <w:rPr>
          <w:rFonts w:hint="eastAsia" w:ascii="方正小标宋_GBK" w:eastAsia="方正小标宋_GBK"/>
          <w:b w:val="0"/>
          <w:sz w:val="44"/>
          <w:szCs w:val="44"/>
        </w:rPr>
        <w:t>平提升计划</w:t>
      </w:r>
    </w:p>
    <w:p>
      <w:pPr>
        <w:pStyle w:val="5"/>
        <w:spacing w:before="0" w:after="0"/>
        <w:rPr>
          <w:rFonts w:hint="eastAsia"/>
          <w:b w:val="0"/>
          <w:sz w:val="44"/>
          <w:szCs w:val="44"/>
        </w:rPr>
      </w:pPr>
      <w:r>
        <w:rPr>
          <w:rFonts w:hint="eastAsia" w:ascii="方正小标宋_GBK" w:eastAsia="方正小标宋_GBK"/>
          <w:b w:val="0"/>
          <w:sz w:val="44"/>
          <w:szCs w:val="44"/>
        </w:rPr>
        <w:t>实施办法》等四项制度的通知</w:t>
      </w:r>
    </w:p>
    <w:p>
      <w:pPr>
        <w:pStyle w:val="5"/>
        <w:spacing w:before="0" w:after="0"/>
        <w:rPr>
          <w:rFonts w:hint="eastAsia"/>
          <w:sz w:val="36"/>
          <w:szCs w:val="36"/>
        </w:rPr>
      </w:pPr>
      <w:r>
        <w:rPr>
          <w:rFonts w:hint="eastAsia"/>
          <w:sz w:val="36"/>
          <w:szCs w:val="36"/>
        </w:rPr>
        <w:t xml:space="preserve"> </w:t>
      </w:r>
    </w:p>
    <w:p>
      <w:pPr>
        <w:widowControl/>
        <w:spacing w:line="460" w:lineRule="exact"/>
        <w:jc w:val="left"/>
        <w:rPr>
          <w:rFonts w:hint="eastAsia" w:ascii="仿宋_GB2312" w:hAnsi="仿宋" w:eastAsia="仿宋_GB2312"/>
          <w:sz w:val="32"/>
          <w:szCs w:val="32"/>
        </w:rPr>
      </w:pPr>
      <w:r>
        <w:rPr>
          <w:rFonts w:hint="eastAsia" w:ascii="仿宋_GB2312" w:hAnsi="仿宋" w:eastAsia="仿宋_GB2312"/>
          <w:sz w:val="32"/>
          <w:szCs w:val="32"/>
        </w:rPr>
        <w:t>各部门、各单位：</w:t>
      </w:r>
    </w:p>
    <w:p>
      <w:pPr>
        <w:spacing w:line="460" w:lineRule="exact"/>
        <w:ind w:firstLine="316" w:firstLineChars="99"/>
        <w:rPr>
          <w:rFonts w:hint="eastAsia" w:ascii="仿宋_GB2312" w:hAnsi="仿宋" w:eastAsia="仿宋_GB2312"/>
          <w:sz w:val="32"/>
          <w:szCs w:val="32"/>
        </w:rPr>
      </w:pPr>
      <w:r>
        <w:rPr>
          <w:rFonts w:hint="eastAsia" w:ascii="仿宋_GB2312" w:hAnsi="仿宋" w:eastAsia="仿宋_GB2312"/>
          <w:sz w:val="32"/>
          <w:szCs w:val="32"/>
        </w:rPr>
        <w:t>《安徽医科大学科研水平提升计划实施办法》</w:t>
      </w:r>
      <w:r>
        <w:rPr>
          <w:rFonts w:hint="eastAsia" w:ascii="仿宋_GB2312" w:eastAsia="仿宋_GB2312"/>
          <w:sz w:val="32"/>
          <w:szCs w:val="32"/>
        </w:rPr>
        <w:t>等四项制度</w:t>
      </w:r>
      <w:r>
        <w:rPr>
          <w:rFonts w:hint="eastAsia" w:ascii="仿宋_GB2312" w:hAnsi="仿宋" w:eastAsia="仿宋_GB2312"/>
          <w:sz w:val="32"/>
          <w:szCs w:val="32"/>
        </w:rPr>
        <w:t>业经2019年6月4日校长办公会议审议通过，现予以印发，请遵照执行。</w:t>
      </w:r>
    </w:p>
    <w:p>
      <w:pPr>
        <w:spacing w:line="4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附件：1.安徽医科大学科研水平提升计划实施办法</w:t>
      </w:r>
    </w:p>
    <w:p>
      <w:pPr>
        <w:spacing w:line="460" w:lineRule="exact"/>
        <w:ind w:left="1987" w:leftChars="645" w:hanging="633" w:hangingChars="198"/>
        <w:rPr>
          <w:rFonts w:hint="eastAsia" w:ascii="仿宋_GB2312" w:hAnsi="仿宋" w:eastAsia="仿宋_GB2312"/>
          <w:sz w:val="32"/>
          <w:szCs w:val="32"/>
        </w:rPr>
      </w:pPr>
      <w:r>
        <w:rPr>
          <w:rFonts w:hint="eastAsia" w:ascii="仿宋_GB2312" w:hAnsi="仿宋" w:eastAsia="仿宋_GB2312"/>
          <w:sz w:val="32"/>
          <w:szCs w:val="32"/>
        </w:rPr>
        <w:t xml:space="preserve">  2.安徽医科大学基础与临床合作研究提升计划实施办法</w:t>
      </w:r>
    </w:p>
    <w:p>
      <w:pPr>
        <w:spacing w:line="460" w:lineRule="exact"/>
        <w:ind w:left="1987" w:leftChars="645" w:hanging="633" w:hangingChars="198"/>
        <w:rPr>
          <w:rFonts w:hint="eastAsia" w:ascii="仿宋_GB2312" w:hAnsi="仿宋" w:eastAsia="仿宋_GB2312"/>
          <w:sz w:val="32"/>
          <w:szCs w:val="32"/>
        </w:rPr>
      </w:pPr>
      <w:r>
        <w:rPr>
          <w:rFonts w:hint="eastAsia" w:ascii="仿宋_GB2312" w:hAnsi="仿宋" w:eastAsia="仿宋_GB2312"/>
          <w:sz w:val="32"/>
          <w:szCs w:val="32"/>
        </w:rPr>
        <w:t xml:space="preserve">  3.安徽医科大学科研平台基地建设提升计划实施办法</w:t>
      </w:r>
    </w:p>
    <w:p>
      <w:pPr>
        <w:spacing w:line="460" w:lineRule="exact"/>
        <w:ind w:left="1987" w:leftChars="645" w:hanging="633" w:hangingChars="198"/>
        <w:rPr>
          <w:rFonts w:hint="eastAsia" w:ascii="仿宋_GB2312" w:hAnsi="仿宋" w:eastAsia="仿宋_GB2312"/>
          <w:sz w:val="32"/>
          <w:szCs w:val="32"/>
        </w:rPr>
      </w:pPr>
      <w:r>
        <w:rPr>
          <w:rFonts w:hint="eastAsia" w:ascii="仿宋_GB2312" w:hAnsi="仿宋" w:eastAsia="仿宋_GB2312"/>
          <w:sz w:val="32"/>
          <w:szCs w:val="32"/>
        </w:rPr>
        <w:t xml:space="preserve">  4.安徽医科大学学术活动提升计划实施办法</w:t>
      </w:r>
    </w:p>
    <w:p>
      <w:pPr>
        <w:widowControl/>
        <w:spacing w:line="480" w:lineRule="exact"/>
        <w:ind w:firstLine="640" w:firstLineChars="200"/>
        <w:jc w:val="left"/>
        <w:rPr>
          <w:rFonts w:hint="eastAsia" w:ascii="仿宋_GB2312" w:hAnsi="仿宋" w:eastAsia="仿宋_GB2312"/>
          <w:sz w:val="32"/>
          <w:szCs w:val="32"/>
        </w:rPr>
      </w:pPr>
    </w:p>
    <w:p>
      <w:pPr>
        <w:spacing w:line="480" w:lineRule="exact"/>
        <w:rPr>
          <w:rFonts w:hint="eastAsia" w:ascii="仿宋_GB2312" w:eastAsia="仿宋_GB2312"/>
          <w:sz w:val="32"/>
          <w:szCs w:val="32"/>
        </w:rPr>
      </w:pPr>
      <w:r>
        <w:rPr>
          <w:rFonts w:hint="eastAsia" w:ascii="仿宋_GB2312" w:hAnsi="仿宋" w:eastAsia="仿宋_GB2312"/>
          <w:sz w:val="32"/>
          <w:szCs w:val="32"/>
        </w:rPr>
        <w:t xml:space="preserve">                               </w:t>
      </w:r>
      <w:r>
        <w:rPr>
          <w:rFonts w:hint="eastAsia" w:ascii="仿宋_GB2312" w:eastAsia="仿宋_GB2312"/>
          <w:sz w:val="32"/>
          <w:szCs w:val="32"/>
        </w:rPr>
        <w:t xml:space="preserve">        安徽医科大学  </w:t>
      </w:r>
    </w:p>
    <w:p>
      <w:pPr>
        <w:spacing w:line="520" w:lineRule="exact"/>
        <w:rPr>
          <w:rFonts w:hint="eastAsia" w:ascii="方正仿宋_GBK" w:eastAsia="方正仿宋_GBK"/>
          <w:sz w:val="30"/>
          <w:szCs w:val="30"/>
        </w:rPr>
      </w:pPr>
      <w:r>
        <w:rPr>
          <w:rFonts w:hint="eastAsia" w:ascii="仿宋_GB2312" w:eastAsia="仿宋_GB2312"/>
          <w:sz w:val="32"/>
          <w:szCs w:val="32"/>
        </w:rPr>
        <w:t xml:space="preserve">                                     </w:t>
      </w:r>
      <w:r>
        <w:rPr>
          <w:rFonts w:hint="eastAsia" w:ascii="仿宋_GB2312" w:hAnsi="Times New Roman" w:eastAsia="仿宋_GB2312"/>
          <w:sz w:val="32"/>
          <w:szCs w:val="32"/>
        </w:rPr>
        <w:t>2019年7月16日</w: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313690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7pt;height:0pt;width:414pt;z-index:251659264;mso-width-relative:page;mso-height-relative:page;" filled="f" stroked="t" coordsize="21600,21600" o:gfxdata="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CZbuHTAAAABgEAAA8AAAAAAAAAAQAg&#10;AAAAIgAAAGRycy9kb3ducmV2LnhtbFBLAQIUABQAAAAIAIdO4kCDo2cU2gEAAJYDAAAOAAAAAAAA&#10;AAEAIAAAACIBAABkcnMvZTJvRG9jLnhtbFBLBQYAAAAABgAGAFkBAABuBQAAAAA=&#10;">
                <v:fill on="f" focussize="0,0"/>
                <v:stroke color="#000000" joinstyle="round"/>
                <v:imagedata o:title=""/>
                <o:lock v:ext="edit" aspectratio="f"/>
              </v:line>
            </w:pict>
          </mc:Fallback>
        </mc:AlternateContent>
      </w:r>
    </w:p>
    <w:p>
      <w:pPr>
        <w:spacing w:line="520" w:lineRule="exact"/>
        <w:ind w:firstLine="320" w:firstLineChars="100"/>
        <w:rPr>
          <w:rFonts w:hint="eastAsia" w:ascii="仿宋_GB2312" w:eastAsia="仿宋_GB2312"/>
          <w:sz w:val="32"/>
          <w:szCs w:val="28"/>
        </w:rPr>
      </w:pPr>
      <w:r>
        <w:rPr>
          <w:rFonts w:hint="eastAsia" w:ascii="仿宋_GB2312" w:eastAsia="仿宋_GB2312"/>
          <w:sz w:val="32"/>
          <w:szCs w:val="28"/>
        </w:rPr>
        <w:t>安徽医科大学党政办公室         2019年7月16日印发</w:t>
      </w:r>
    </w:p>
    <w:p>
      <w:pPr>
        <w:spacing w:line="20" w:lineRule="exact"/>
        <w:rPr>
          <w:rFonts w:hint="eastAsia"/>
          <w:szCs w:val="30"/>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33655</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5pt;height:0pt;width:414pt;z-index:251658240;mso-width-relative:page;mso-height-relative:page;" filled="f" stroked="t" coordsize="21600,21600" o:gfxdata="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WzUoK0gAAAAQBAAAPAAAAAAAAAAEAIAAA&#10;ACIAAABkcnMvZG93bnJldi54bWxQSwECFAAUAAAACACHTuJAksgDedkBAACWAwAADgAAAAAAAAAB&#10;ACAAAAAhAQAAZHJzL2Uyb0RvYy54bWxQSwUGAAAAAAYABgBZAQAAbAUAAAAA&#10;">
                <v:fill on="f" focussize="0,0"/>
                <v:stroke color="#000000" joinstyle="round"/>
                <v:imagedata o:title=""/>
                <o:lock v:ext="edit" aspectratio="f"/>
              </v:line>
            </w:pict>
          </mc:Fallback>
        </mc:AlternateContent>
      </w:r>
    </w:p>
    <w:p>
      <w:pPr>
        <w:spacing w:line="360" w:lineRule="auto"/>
        <w:jc w:val="center"/>
        <w:rPr>
          <w:rFonts w:hint="eastAsia" w:ascii="方正小标宋_GBK" w:hAnsi="方正小标宋_GBK" w:eastAsia="方正小标宋_GBK" w:cs="方正小标宋_GBK"/>
          <w:b/>
          <w:bCs/>
          <w:sz w:val="44"/>
          <w:szCs w:val="44"/>
        </w:rPr>
      </w:pPr>
    </w:p>
    <w:p>
      <w:pPr>
        <w:spacing w:line="360" w:lineRule="auto"/>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安徽医科大学科研平台基地建设</w:t>
      </w:r>
    </w:p>
    <w:p>
      <w:pPr>
        <w:spacing w:line="360" w:lineRule="auto"/>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提升计划实施办法</w:t>
      </w:r>
    </w:p>
    <w:p>
      <w:pPr>
        <w:spacing w:line="360" w:lineRule="auto"/>
        <w:jc w:val="center"/>
        <w:rPr>
          <w:rFonts w:ascii="宋体" w:hAnsi="宋体" w:cs="宋体"/>
          <w:b/>
          <w:bCs/>
          <w:sz w:val="36"/>
          <w:szCs w:val="36"/>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则</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贯彻落实《安徽医科大学“十三五”事业发展规划纲要》，大力实施“创新驱动”发展战略，建立以面向世界科技前沿、面向经济主战场、面向国家重大需求为目标的多学科融合的科技创新平台，增强科研平台基地在学科建设、科学研究、人才培养、社会服务中的支撑作用，提升学校科技核心竞争力，特制定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计划培育建设以集聚培养创新人才、开展科学研究、促进学术交流为目的的国家级科研平台、全国行业科研平台代表的高端科研平台基地，使我校科研平台基地建设质量有较大跃升，成为实现社会服务功能的重要载体，进一步提升学校核心竞争力与学科内涵。</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 xml:space="preserve"> 科研平台基地建设提升的实施原则是</w:t>
      </w:r>
      <w:r>
        <w:rPr>
          <w:rFonts w:hint="eastAsia" w:ascii="仿宋_GB2312" w:hAnsi="仿宋_GB2312" w:eastAsia="仿宋_GB2312" w:cs="仿宋_GB2312"/>
          <w:b w:val="0"/>
          <w:bCs w:val="0"/>
          <w:sz w:val="32"/>
          <w:szCs w:val="32"/>
        </w:rPr>
        <w:t>“分层引导、分型资助、择优遴选、动态评价”。</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建设</w:t>
      </w:r>
      <w:r>
        <w:rPr>
          <w:rFonts w:hint="eastAsia" w:ascii="仿宋_GB2312" w:hAnsi="仿宋_GB2312" w:eastAsia="仿宋_GB2312" w:cs="仿宋_GB2312"/>
          <w:b/>
          <w:bCs/>
          <w:sz w:val="32"/>
          <w:szCs w:val="32"/>
        </w:rPr>
        <w:t>范围和资助方式</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计划资助的科研平台基地是指：以安徽医科大学为依托单位，国家各部委、省内各厅委等政府部门批准或认定的重点实验室、工程技术（研究）中心、协同创新中心、临床医学研究中心、国合基地、人文社科重点研究基地等，以下统称为“科研平台基地”。</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本计划资助建设的科研平台基地范围包括：</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1.正式进入国家四类科技创新型平台（国家重点实验室、国家工程研究中心、国家技术创新中心、国家临床医学研究中心）培育的省级重点科研平台；  </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2.已立项建设的教育部、卫健委等国家部委、行业重点科研平台；</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3.已立项建设的各类省级科研平台</w:t>
      </w:r>
      <w:r>
        <w:rPr>
          <w:rFonts w:hint="eastAsia" w:ascii="仿宋_GB2312" w:hAnsi="仿宋_GB2312" w:eastAsia="仿宋_GB2312" w:cs="仿宋_GB2312"/>
          <w:sz w:val="32"/>
          <w:szCs w:val="32"/>
          <w:lang w:val="en-US" w:eastAsia="zh-CN"/>
        </w:rPr>
        <w:t>基地</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同一个实体平台，如同时在建有不同归口管理部门的多个科技平台，仅限资助其中一个科技平台，不重复进行资助；对于同一负责人负责的不同科技平台，仅限资助其中一个科技平台，不重复进行资助。</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资助方式和周期</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sz w:val="32"/>
          <w:szCs w:val="32"/>
        </w:rPr>
        <w:t>正式进入国家四类科技创新型平台培育的省级重点科研平台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及</w:t>
      </w:r>
      <w:r>
        <w:rPr>
          <w:rFonts w:hint="eastAsia" w:ascii="仿宋_GB2312" w:hAnsi="仿宋_GB2312" w:eastAsia="仿宋_GB2312" w:cs="仿宋_GB2312"/>
          <w:b w:val="0"/>
          <w:bCs w:val="0"/>
          <w:sz w:val="32"/>
          <w:szCs w:val="32"/>
        </w:rPr>
        <w:t>已立项建设的教育部、卫健委等国家部委、行业重点科研平台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采取稳定支持方式，年资助建设经费100万元/个；</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其他在建各类省级科研平台基地，采取</w:t>
      </w:r>
      <w:r>
        <w:rPr>
          <w:rFonts w:hint="eastAsia" w:ascii="仿宋_GB2312" w:hAnsi="仿宋_GB2312" w:eastAsia="仿宋_GB2312" w:cs="仿宋_GB2312"/>
          <w:sz w:val="32"/>
          <w:szCs w:val="32"/>
          <w:lang w:val="en-US" w:eastAsia="zh-CN"/>
        </w:rPr>
        <w:t>年度申报，竞争支持、数量控制、三年周期考核的建设方式。对于业绩突出的科研平台基地，给予自然科学类50万元/个，人文社类20万元/</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，原则上两类平台年度支持个数累计不超过5个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且三年建设周期内不重复资助。</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.直属附属医院牵头</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的各类平台，费用由所在附院自筹。</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第三章 </w:t>
      </w:r>
      <w:r>
        <w:rPr>
          <w:rFonts w:hint="eastAsia" w:ascii="仿宋_GB2312" w:hAnsi="仿宋_GB2312" w:eastAsia="仿宋_GB2312" w:cs="仿宋_GB2312"/>
          <w:b/>
          <w:bCs/>
          <w:sz w:val="32"/>
          <w:szCs w:val="32"/>
          <w:lang w:val="en-US" w:eastAsia="zh-CN"/>
        </w:rPr>
        <w:t xml:space="preserve"> 申报与立项</w:t>
      </w:r>
      <w:r>
        <w:rPr>
          <w:rFonts w:hint="eastAsia" w:ascii="仿宋_GB2312" w:hAnsi="仿宋_GB2312" w:eastAsia="仿宋_GB2312" w:cs="仿宋_GB2312"/>
          <w:b/>
          <w:bCs/>
          <w:sz w:val="32"/>
          <w:szCs w:val="32"/>
        </w:rPr>
        <w:t xml:space="preserve"> </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360" w:lineRule="auto"/>
        <w:ind w:firstLine="60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正式进入国家四类科技创新型平台培育的省级重点科研平台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及</w:t>
      </w:r>
      <w:r>
        <w:rPr>
          <w:rFonts w:hint="eastAsia" w:ascii="仿宋_GB2312" w:hAnsi="仿宋_GB2312" w:eastAsia="仿宋_GB2312" w:cs="仿宋_GB2312"/>
          <w:b w:val="0"/>
          <w:bCs w:val="0"/>
          <w:sz w:val="32"/>
          <w:szCs w:val="32"/>
        </w:rPr>
        <w:t>已立项建设的教育部、卫健委等国家部委、行业重点科研平台</w:t>
      </w:r>
      <w:r>
        <w:rPr>
          <w:rFonts w:hint="eastAsia" w:ascii="仿宋_GB2312" w:hAnsi="仿宋_GB2312" w:eastAsia="仿宋_GB2312" w:cs="仿宋_GB2312"/>
          <w:b w:val="0"/>
          <w:bCs w:val="0"/>
          <w:sz w:val="32"/>
          <w:szCs w:val="32"/>
          <w:lang w:val="en-US" w:eastAsia="zh-CN"/>
        </w:rPr>
        <w:t>在本提升计划实施的首年度直接进入建设</w:t>
      </w:r>
      <w:r>
        <w:rPr>
          <w:rFonts w:hint="eastAsia" w:ascii="仿宋_GB2312" w:hAnsi="仿宋_GB2312" w:eastAsia="仿宋_GB2312" w:cs="仿宋_GB2312"/>
          <w:sz w:val="32"/>
          <w:szCs w:val="32"/>
          <w:lang w:val="en-US" w:eastAsia="zh-CN"/>
        </w:rPr>
        <w:t>序列。</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学校其他在建各类省级科研平台基地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采取</w:t>
      </w:r>
      <w:r>
        <w:rPr>
          <w:rFonts w:hint="eastAsia" w:ascii="仿宋_GB2312" w:hAnsi="仿宋_GB2312" w:eastAsia="仿宋_GB2312" w:cs="仿宋_GB2312"/>
          <w:b w:val="0"/>
          <w:bCs w:val="0"/>
          <w:sz w:val="32"/>
          <w:szCs w:val="32"/>
          <w:lang w:val="en-US" w:eastAsia="zh-CN"/>
        </w:rPr>
        <w:t>每</w:t>
      </w:r>
      <w:r>
        <w:rPr>
          <w:rFonts w:hint="eastAsia" w:ascii="仿宋_GB2312" w:hAnsi="仿宋_GB2312" w:eastAsia="仿宋_GB2312" w:cs="仿宋_GB2312"/>
          <w:b w:val="0"/>
          <w:bCs w:val="0"/>
          <w:sz w:val="32"/>
          <w:szCs w:val="32"/>
        </w:rPr>
        <w:t>年度</w:t>
      </w:r>
      <w:r>
        <w:rPr>
          <w:rFonts w:hint="eastAsia" w:ascii="仿宋_GB2312" w:hAnsi="仿宋_GB2312" w:eastAsia="仿宋_GB2312" w:cs="仿宋_GB2312"/>
          <w:b w:val="0"/>
          <w:bCs w:val="0"/>
          <w:sz w:val="32"/>
          <w:szCs w:val="32"/>
          <w:lang w:val="en-US" w:eastAsia="zh-CN"/>
        </w:rPr>
        <w:t>申报、评审</w:t>
      </w:r>
      <w:r>
        <w:rPr>
          <w:rFonts w:hint="eastAsia" w:ascii="仿宋_GB2312" w:hAnsi="仿宋_GB2312" w:eastAsia="仿宋_GB2312" w:cs="仿宋_GB2312"/>
          <w:b w:val="0"/>
          <w:bCs w:val="0"/>
          <w:sz w:val="32"/>
          <w:szCs w:val="32"/>
        </w:rPr>
        <w:t>方式，</w:t>
      </w:r>
      <w:r>
        <w:rPr>
          <w:rFonts w:hint="eastAsia" w:ascii="仿宋_GB2312" w:hAnsi="仿宋_GB2312" w:eastAsia="仿宋_GB2312" w:cs="仿宋_GB2312"/>
          <w:sz w:val="32"/>
          <w:szCs w:val="32"/>
        </w:rPr>
        <w:t>具体时间以当年度正式通知为准。</w:t>
      </w:r>
      <w:r>
        <w:rPr>
          <w:rFonts w:hint="eastAsia" w:ascii="仿宋_GB2312" w:hAnsi="仿宋_GB2312" w:eastAsia="仿宋_GB2312" w:cs="仿宋_GB2312"/>
          <w:b w:val="0"/>
          <w:bCs w:val="0"/>
          <w:sz w:val="32"/>
          <w:szCs w:val="32"/>
        </w:rPr>
        <w:t>申请平台基地</w:t>
      </w:r>
      <w:r>
        <w:rPr>
          <w:rFonts w:hint="eastAsia" w:ascii="仿宋_GB2312" w:hAnsi="仿宋_GB2312" w:eastAsia="仿宋_GB2312" w:cs="仿宋_GB2312"/>
          <w:sz w:val="32"/>
          <w:szCs w:val="32"/>
        </w:rPr>
        <w:t>提交《科研平台基地建设提升计划</w:t>
      </w:r>
      <w:r>
        <w:rPr>
          <w:rFonts w:hint="eastAsia" w:ascii="仿宋_GB2312" w:hAnsi="仿宋_GB2312" w:eastAsia="仿宋_GB2312" w:cs="仿宋_GB2312"/>
          <w:sz w:val="32"/>
          <w:szCs w:val="32"/>
          <w:lang w:val="en-US" w:eastAsia="zh-CN"/>
        </w:rPr>
        <w:t>申请书</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申请书》）。</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本</w:t>
      </w:r>
      <w:r>
        <w:rPr>
          <w:rFonts w:hint="eastAsia" w:ascii="仿宋_GB2312" w:hAnsi="仿宋_GB2312" w:eastAsia="仿宋_GB2312" w:cs="仿宋_GB2312"/>
          <w:sz w:val="32"/>
          <w:szCs w:val="32"/>
        </w:rPr>
        <w:t>计划遵循“依靠专家、科学评议、择优支持、公正合理”的评审原则。</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校科技产业处组织专家</w:t>
      </w:r>
      <w:r>
        <w:rPr>
          <w:rFonts w:hint="eastAsia" w:ascii="仿宋_GB2312" w:hAnsi="仿宋_GB2312" w:eastAsia="仿宋_GB2312" w:cs="仿宋_GB2312"/>
          <w:sz w:val="32"/>
          <w:szCs w:val="32"/>
        </w:rPr>
        <w:t>对申请</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计划</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的科研平台基地进行考核和评估，确定拟</w:t>
      </w:r>
      <w:r>
        <w:rPr>
          <w:rFonts w:hint="eastAsia" w:ascii="仿宋_GB2312" w:hAnsi="仿宋_GB2312" w:eastAsia="仿宋_GB2312" w:cs="仿宋_GB2312"/>
          <w:sz w:val="32"/>
          <w:szCs w:val="32"/>
          <w:lang w:val="en-US" w:eastAsia="zh-CN"/>
        </w:rPr>
        <w:t>资助建设</w:t>
      </w:r>
      <w:r>
        <w:rPr>
          <w:rFonts w:hint="eastAsia" w:ascii="仿宋_GB2312" w:hAnsi="仿宋_GB2312" w:eastAsia="仿宋_GB2312" w:cs="仿宋_GB2312"/>
          <w:sz w:val="32"/>
          <w:szCs w:val="32"/>
        </w:rPr>
        <w:t>的科研平台基地。</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校科技产业处按照评审意见及计划年度预算确定资助</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数量和资助金额，提出资助建议，</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在校内公示，公示无异议后</w:t>
      </w:r>
      <w:r>
        <w:rPr>
          <w:rFonts w:hint="eastAsia" w:ascii="仿宋_GB2312" w:hAnsi="仿宋_GB2312" w:eastAsia="仿宋_GB2312" w:cs="仿宋_GB2312"/>
          <w:sz w:val="32"/>
          <w:szCs w:val="32"/>
          <w:lang w:val="en-US" w:eastAsia="zh-CN"/>
        </w:rPr>
        <w:t>报请</w:t>
      </w:r>
      <w:r>
        <w:rPr>
          <w:rFonts w:hint="eastAsia" w:ascii="仿宋_GB2312" w:hAnsi="仿宋_GB2312" w:eastAsia="仿宋_GB2312" w:cs="仿宋_GB2312"/>
          <w:sz w:val="32"/>
          <w:szCs w:val="32"/>
        </w:rPr>
        <w:t>校长办公会议</w:t>
      </w:r>
      <w:r>
        <w:rPr>
          <w:rFonts w:hint="eastAsia" w:ascii="仿宋_GB2312" w:hAnsi="仿宋_GB2312" w:eastAsia="仿宋_GB2312" w:cs="仿宋_GB2312"/>
          <w:sz w:val="32"/>
          <w:szCs w:val="32"/>
          <w:lang w:val="en-US" w:eastAsia="zh-CN"/>
        </w:rPr>
        <w:t>审议，通过后正式下达。</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组织与管理</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360" w:lineRule="auto"/>
        <w:ind w:firstLine="60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获资助</w:t>
      </w:r>
      <w:r>
        <w:rPr>
          <w:rFonts w:hint="eastAsia" w:ascii="仿宋_GB2312" w:hAnsi="仿宋_GB2312" w:eastAsia="仿宋_GB2312" w:cs="仿宋_GB2312"/>
          <w:sz w:val="32"/>
          <w:szCs w:val="32"/>
          <w:lang w:val="en-US" w:eastAsia="zh-CN"/>
        </w:rPr>
        <w:t>的科技平台基地，</w:t>
      </w:r>
      <w:r>
        <w:rPr>
          <w:rFonts w:hint="eastAsia" w:ascii="仿宋_GB2312" w:hAnsi="仿宋_GB2312" w:eastAsia="仿宋_GB2312" w:cs="仿宋_GB2312"/>
          <w:sz w:val="32"/>
          <w:szCs w:val="32"/>
        </w:rPr>
        <w:t>须接受并积极配合相关部门的监督检查，按规定要求提交</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rPr>
        <w:t>报告、统计材料等，及时纠正存在的问题。</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rPr>
        <w:t>正式进入国家四类科技创新型平台培育的省级重点科研平台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及</w:t>
      </w:r>
      <w:r>
        <w:rPr>
          <w:rFonts w:hint="eastAsia" w:ascii="仿宋_GB2312" w:hAnsi="仿宋_GB2312" w:eastAsia="仿宋_GB2312" w:cs="仿宋_GB2312"/>
          <w:b w:val="0"/>
          <w:bCs w:val="0"/>
          <w:sz w:val="32"/>
          <w:szCs w:val="32"/>
        </w:rPr>
        <w:t>已立项建设的教育部、卫健委等国家部委、行业重点科研平台</w:t>
      </w:r>
      <w:r>
        <w:rPr>
          <w:rFonts w:hint="eastAsia" w:ascii="仿宋_GB2312" w:hAnsi="仿宋_GB2312" w:eastAsia="仿宋_GB2312" w:cs="仿宋_GB2312"/>
          <w:b w:val="0"/>
          <w:bCs w:val="0"/>
          <w:sz w:val="32"/>
          <w:szCs w:val="32"/>
          <w:lang w:val="en-US" w:eastAsia="zh-CN"/>
        </w:rPr>
        <w:t>两类，如建设情况良好，且通过上级主管部门组织的各类考核评估，自动进入滚动支持序列。</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rPr>
        <w:t>其他</w:t>
      </w:r>
      <w:r>
        <w:rPr>
          <w:rFonts w:hint="eastAsia" w:ascii="仿宋_GB2312" w:hAnsi="仿宋_GB2312" w:eastAsia="仿宋_GB2312" w:cs="仿宋_GB2312"/>
          <w:b w:val="0"/>
          <w:bCs w:val="0"/>
          <w:sz w:val="32"/>
          <w:szCs w:val="32"/>
          <w:lang w:val="en-US" w:eastAsia="zh-CN"/>
        </w:rPr>
        <w:t>获得资助的</w:t>
      </w:r>
      <w:r>
        <w:rPr>
          <w:rFonts w:hint="eastAsia" w:ascii="仿宋_GB2312" w:hAnsi="仿宋_GB2312" w:eastAsia="仿宋_GB2312" w:cs="仿宋_GB2312"/>
          <w:b w:val="0"/>
          <w:bCs w:val="0"/>
          <w:sz w:val="32"/>
          <w:szCs w:val="32"/>
        </w:rPr>
        <w:t>在建省级科研平台基地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在资助期满后</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提交《科研平台基地建设提升计划</w:t>
      </w:r>
      <w:r>
        <w:rPr>
          <w:rFonts w:hint="eastAsia" w:ascii="仿宋_GB2312" w:hAnsi="仿宋_GB2312" w:eastAsia="仿宋_GB2312" w:cs="仿宋_GB2312"/>
          <w:sz w:val="32"/>
          <w:szCs w:val="32"/>
          <w:lang w:val="en-US" w:eastAsia="zh-CN"/>
        </w:rPr>
        <w:t>总结报告</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建设总结报告</w:t>
      </w:r>
      <w:r>
        <w:rPr>
          <w:rFonts w:hint="eastAsia" w:ascii="仿宋_GB2312" w:hAnsi="仿宋_GB2312" w:eastAsia="仿宋_GB2312" w:cs="仿宋_GB2312"/>
          <w:sz w:val="32"/>
          <w:szCs w:val="32"/>
        </w:rPr>
        <w:t>》）并附研究成果等证明材料</w:t>
      </w:r>
      <w:bookmarkStart w:id="0" w:name="OLE_LINK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校科技产业处组织专家进行验收</w:t>
      </w:r>
      <w:r>
        <w:rPr>
          <w:rFonts w:hint="eastAsia" w:ascii="仿宋_GB2312" w:hAnsi="仿宋_GB2312" w:eastAsia="仿宋_GB2312" w:cs="仿宋_GB2312"/>
          <w:sz w:val="32"/>
          <w:szCs w:val="32"/>
        </w:rPr>
        <w:t>考核</w:t>
      </w:r>
      <w:bookmarkEnd w:id="0"/>
      <w:r>
        <w:rPr>
          <w:rFonts w:hint="eastAsia" w:ascii="仿宋_GB2312" w:hAnsi="仿宋_GB2312" w:eastAsia="仿宋_GB2312" w:cs="仿宋_GB2312"/>
          <w:sz w:val="32"/>
          <w:szCs w:val="32"/>
        </w:rPr>
        <w:t>并形成最终验收结论。</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不同科研平台基地建设提升计划项目不得重复以相同人员相同科研业绩、相同的实验室用房、相同的实验室仪器等填报《</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总结报告》，科研平台基地负责人对所填报《</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总结报告》负责。</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获资助科研平台基地有下列情形之一的，学校可以视情况分别采取缓拨经费、通报批评、停止拨款、追回经费、撤销资助等措施：</w:t>
      </w:r>
    </w:p>
    <w:p>
      <w:pPr>
        <w:keepNext w:val="0"/>
        <w:keepLines w:val="0"/>
        <w:pageBreakBefore w:val="0"/>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资助经费的使用不符合有关财务制度规定的；</w:t>
      </w:r>
    </w:p>
    <w:p>
      <w:pPr>
        <w:keepNext w:val="0"/>
        <w:keepLines w:val="0"/>
        <w:pageBreakBefore w:val="0"/>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未按照要求提交《</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总结报告》的；</w:t>
      </w:r>
    </w:p>
    <w:p>
      <w:pPr>
        <w:keepNext w:val="0"/>
        <w:keepLines w:val="0"/>
        <w:pageBreakBefore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考核</w:t>
      </w:r>
      <w:r>
        <w:rPr>
          <w:rFonts w:hint="eastAsia" w:ascii="仿宋_GB2312" w:hAnsi="仿宋_GB2312" w:eastAsia="仿宋_GB2312" w:cs="仿宋_GB2312"/>
          <w:sz w:val="32"/>
          <w:szCs w:val="32"/>
          <w:lang w:val="en-US" w:eastAsia="zh-CN"/>
        </w:rPr>
        <w:t>评估</w:t>
      </w:r>
      <w:r>
        <w:rPr>
          <w:rFonts w:hint="eastAsia" w:ascii="仿宋_GB2312" w:hAnsi="仿宋_GB2312" w:eastAsia="仿宋_GB2312" w:cs="仿宋_GB2312"/>
          <w:sz w:val="32"/>
          <w:szCs w:val="32"/>
        </w:rPr>
        <w:t>结果不合格的；</w:t>
      </w:r>
    </w:p>
    <w:p>
      <w:pPr>
        <w:keepNext w:val="0"/>
        <w:keepLines w:val="0"/>
        <w:pageBreakBefore w:val="0"/>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弄虚作假、违背科学道德的。</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列入</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提升计划</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的科研平台基地，学校优先支持推荐申报中央引导地方专项、安徽省创新重大专项和省重点研发计划等项目。</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经费管理</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提升计划资助经费的使用按照科学民主、公开公正的原则，单独立帐，专款专用。</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提升计划资助经费的使用实行预算管理和</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负责人负责制。</w:t>
      </w:r>
      <w:r>
        <w:rPr>
          <w:rFonts w:hint="eastAsia" w:ascii="仿宋_GB2312" w:hAnsi="仿宋_GB2312" w:eastAsia="仿宋_GB2312" w:cs="仿宋_GB2312"/>
          <w:sz w:val="32"/>
          <w:szCs w:val="32"/>
          <w:lang w:val="en-US" w:eastAsia="zh-CN"/>
        </w:rPr>
        <w:t>科研平台基地负责人应按要求编制经费预算，校科技产业处和财务处审核通过后，拨付经费。</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获</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的科研平台基地</w:t>
      </w:r>
      <w:r>
        <w:rPr>
          <w:rFonts w:hint="eastAsia" w:ascii="仿宋_GB2312" w:hAnsi="仿宋_GB2312" w:eastAsia="仿宋_GB2312" w:cs="仿宋_GB2312"/>
          <w:sz w:val="32"/>
          <w:szCs w:val="32"/>
          <w:lang w:val="en-US" w:eastAsia="zh-CN"/>
        </w:rPr>
        <w:t>资助经费每年度</w:t>
      </w:r>
      <w:r>
        <w:rPr>
          <w:rFonts w:hint="eastAsia" w:ascii="仿宋_GB2312" w:hAnsi="仿宋_GB2312" w:eastAsia="仿宋_GB2312" w:cs="仿宋_GB2312"/>
          <w:sz w:val="32"/>
          <w:szCs w:val="32"/>
        </w:rPr>
        <w:t>一次性拨付到帐；</w:t>
      </w:r>
      <w:r>
        <w:rPr>
          <w:rFonts w:hint="eastAsia" w:ascii="仿宋_GB2312" w:hAnsi="仿宋_GB2312" w:eastAsia="仿宋_GB2312" w:cs="仿宋_GB2312"/>
          <w:sz w:val="32"/>
          <w:szCs w:val="32"/>
          <w:lang w:val="en-US" w:eastAsia="zh-CN"/>
        </w:rPr>
        <w:t>获</w:t>
      </w:r>
      <w:r>
        <w:rPr>
          <w:rFonts w:hint="eastAsia" w:ascii="仿宋_GB2312" w:hAnsi="仿宋_GB2312" w:eastAsia="仿宋_GB2312" w:cs="仿宋_GB2312"/>
          <w:sz w:val="32"/>
          <w:szCs w:val="32"/>
        </w:rPr>
        <w:t>周期支持的科研平台基地在</w:t>
      </w:r>
      <w:r>
        <w:rPr>
          <w:rFonts w:hint="eastAsia" w:ascii="仿宋_GB2312" w:hAnsi="仿宋_GB2312" w:eastAsia="仿宋_GB2312" w:cs="仿宋_GB2312"/>
          <w:sz w:val="32"/>
          <w:szCs w:val="32"/>
          <w:lang w:val="en-US" w:eastAsia="zh-CN"/>
        </w:rPr>
        <w:t>立项建设年度拨付4/5资助</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通过建设总结验收后，拨付剩余1/5资助经费</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建设经费建议50%用于实验耗材、设备</w:t>
      </w:r>
      <w:r>
        <w:rPr>
          <w:rFonts w:hint="eastAsia" w:ascii="仿宋_GB2312" w:hAnsi="仿宋_GB2312" w:eastAsia="仿宋_GB2312" w:cs="仿宋_GB2312"/>
          <w:sz w:val="32"/>
          <w:szCs w:val="32"/>
          <w:lang w:val="en-US" w:eastAsia="zh-CN"/>
        </w:rPr>
        <w:t>维护和科研业务费</w:t>
      </w:r>
      <w:r>
        <w:rPr>
          <w:rFonts w:hint="eastAsia" w:ascii="仿宋_GB2312" w:hAnsi="仿宋_GB2312" w:eastAsia="仿宋_GB2312" w:cs="仿宋_GB2312"/>
          <w:sz w:val="32"/>
          <w:szCs w:val="32"/>
        </w:rPr>
        <w:t>等，50%用于实验技术人员培训交流活动、实验技术人员外聘</w:t>
      </w:r>
      <w:r>
        <w:rPr>
          <w:rFonts w:hint="eastAsia" w:ascii="仿宋_GB2312" w:hAnsi="仿宋_GB2312" w:eastAsia="仿宋_GB2312" w:cs="仿宋_GB2312"/>
          <w:sz w:val="32"/>
          <w:szCs w:val="32"/>
          <w:lang w:val="en-US" w:eastAsia="zh-CN"/>
        </w:rPr>
        <w:t>和开放课题</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rPr>
        <w:t>不支持购买大型仪器。</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年度支持的科研平台基地当年度预算经费有结余的，可延长使用半年，半年后如有剩余则予以收回；周期支持的建设</w:t>
      </w:r>
      <w:r>
        <w:rPr>
          <w:rFonts w:hint="eastAsia" w:ascii="仿宋_GB2312" w:hAnsi="仿宋_GB2312" w:eastAsia="仿宋_GB2312" w:cs="仿宋_GB2312"/>
          <w:sz w:val="32"/>
          <w:szCs w:val="32"/>
          <w:lang w:val="en-US" w:eastAsia="zh-CN"/>
        </w:rPr>
        <w:t>平台通过</w:t>
      </w:r>
      <w:r>
        <w:rPr>
          <w:rFonts w:hint="eastAsia" w:ascii="仿宋_GB2312" w:hAnsi="仿宋_GB2312" w:eastAsia="仿宋_GB2312" w:cs="仿宋_GB2312"/>
          <w:sz w:val="32"/>
          <w:szCs w:val="32"/>
        </w:rPr>
        <w:t>验收后，结余经费可延长使用一年，一年后如有剩余则予以收回，回收经费均作为学校该项计划经费重新使用。</w:t>
      </w:r>
    </w:p>
    <w:p>
      <w:pPr>
        <w:keepNext w:val="0"/>
        <w:keepLines w:val="0"/>
        <w:pageBreakBefore w:val="0"/>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 xml:space="preserve">章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则</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本办法由校科技产业处负责解释。</w:t>
      </w:r>
    </w:p>
    <w:p>
      <w:pPr>
        <w:keepNext w:val="0"/>
        <w:keepLines w:val="0"/>
        <w:pageBreakBefore w:val="0"/>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本办法自发布之日起施行。</w:t>
      </w:r>
    </w:p>
    <w:p>
      <w:pPr>
        <w:spacing w:line="360" w:lineRule="auto"/>
        <w:ind w:firstLine="600" w:firstLineChars="200"/>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EE7A77"/>
    <w:rsid w:val="00030147"/>
    <w:rsid w:val="00117C38"/>
    <w:rsid w:val="00130BE5"/>
    <w:rsid w:val="002B69D2"/>
    <w:rsid w:val="00563812"/>
    <w:rsid w:val="00627434"/>
    <w:rsid w:val="00674985"/>
    <w:rsid w:val="00686D62"/>
    <w:rsid w:val="006935C0"/>
    <w:rsid w:val="006936E0"/>
    <w:rsid w:val="007D165E"/>
    <w:rsid w:val="0089255C"/>
    <w:rsid w:val="008A077B"/>
    <w:rsid w:val="008D6D8A"/>
    <w:rsid w:val="0093228D"/>
    <w:rsid w:val="00A32654"/>
    <w:rsid w:val="00BD7F34"/>
    <w:rsid w:val="00BF2A87"/>
    <w:rsid w:val="00C753FA"/>
    <w:rsid w:val="00C95F20"/>
    <w:rsid w:val="00CF51D4"/>
    <w:rsid w:val="00D0542C"/>
    <w:rsid w:val="00D11E5D"/>
    <w:rsid w:val="00F06057"/>
    <w:rsid w:val="00F67399"/>
    <w:rsid w:val="00FA0811"/>
    <w:rsid w:val="00FA79D7"/>
    <w:rsid w:val="01787A0D"/>
    <w:rsid w:val="0220274E"/>
    <w:rsid w:val="02B95590"/>
    <w:rsid w:val="04C72B9B"/>
    <w:rsid w:val="05180EBD"/>
    <w:rsid w:val="05EE7A77"/>
    <w:rsid w:val="07B0719F"/>
    <w:rsid w:val="07C84E82"/>
    <w:rsid w:val="09B416AE"/>
    <w:rsid w:val="0AF3570E"/>
    <w:rsid w:val="0BA338F1"/>
    <w:rsid w:val="0D1A535D"/>
    <w:rsid w:val="0DEE3874"/>
    <w:rsid w:val="0E1D7D1E"/>
    <w:rsid w:val="0F262778"/>
    <w:rsid w:val="0F85581D"/>
    <w:rsid w:val="11E15CFB"/>
    <w:rsid w:val="16AF129F"/>
    <w:rsid w:val="17A13FE5"/>
    <w:rsid w:val="1A413528"/>
    <w:rsid w:val="1AC76D39"/>
    <w:rsid w:val="1C3036EB"/>
    <w:rsid w:val="1C4E3659"/>
    <w:rsid w:val="1E4841EB"/>
    <w:rsid w:val="23470F34"/>
    <w:rsid w:val="23684587"/>
    <w:rsid w:val="25EE2E3F"/>
    <w:rsid w:val="26F039F1"/>
    <w:rsid w:val="27D746E7"/>
    <w:rsid w:val="336C7F78"/>
    <w:rsid w:val="33A315F4"/>
    <w:rsid w:val="340F0B7B"/>
    <w:rsid w:val="380E4E7A"/>
    <w:rsid w:val="39F56EFA"/>
    <w:rsid w:val="3CE66E25"/>
    <w:rsid w:val="3DC064D6"/>
    <w:rsid w:val="3E3D3C4D"/>
    <w:rsid w:val="427F6506"/>
    <w:rsid w:val="42D87717"/>
    <w:rsid w:val="435A001B"/>
    <w:rsid w:val="455977AB"/>
    <w:rsid w:val="46CC7505"/>
    <w:rsid w:val="47F95CE0"/>
    <w:rsid w:val="4C3571B7"/>
    <w:rsid w:val="4D8C6975"/>
    <w:rsid w:val="4D95472B"/>
    <w:rsid w:val="51534D35"/>
    <w:rsid w:val="59004430"/>
    <w:rsid w:val="5BC04EEC"/>
    <w:rsid w:val="5FFC33B2"/>
    <w:rsid w:val="61177D71"/>
    <w:rsid w:val="62D022B4"/>
    <w:rsid w:val="62D97000"/>
    <w:rsid w:val="67DF0C3D"/>
    <w:rsid w:val="69CF477F"/>
    <w:rsid w:val="6AFD7124"/>
    <w:rsid w:val="6D4324CE"/>
    <w:rsid w:val="7115164F"/>
    <w:rsid w:val="780840F6"/>
    <w:rsid w:val="78245592"/>
    <w:rsid w:val="796E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10"/>
    <w:pPr>
      <w:spacing w:before="240" w:after="60"/>
      <w:jc w:val="center"/>
      <w:outlineLvl w:val="0"/>
    </w:pPr>
    <w:rPr>
      <w:rFonts w:ascii="Cambria" w:hAnsi="Cambria"/>
      <w:b/>
      <w:bCs/>
      <w:sz w:val="32"/>
      <w:szCs w:val="32"/>
    </w:r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uiPriority w:val="0"/>
    <w:rPr>
      <w:kern w:val="2"/>
      <w:sz w:val="18"/>
      <w:szCs w:val="18"/>
    </w:rPr>
  </w:style>
  <w:style w:type="paragraph" w:customStyle="1" w:styleId="1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1">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453</Words>
  <Characters>2586</Characters>
  <Lines>21</Lines>
  <Paragraphs>6</Paragraphs>
  <TotalTime>22</TotalTime>
  <ScaleCrop>false</ScaleCrop>
  <LinksUpToDate>false</LinksUpToDate>
  <CharactersWithSpaces>3033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2019-04-30T00:08:00Z</dcterms:created>
  <dc:creator>寒霜</dc:creator>
  <cp:lastModifiedBy>史琳</cp:lastModifiedBy>
  <dcterms:modified xsi:type="dcterms:W3CDTF">2020-07-13T07:36:25Z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